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544AB7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7" o:title=""/>
            <w10:wrap type="square"/>
          </v:shape>
          <o:OLEObject Type="Embed" ProgID="Word.Picture.8" ShapeID="_x0000_s1026" DrawAspect="Content" ObjectID="_1749964291" r:id="rId8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A92E2D" w:rsidP="002D1B52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A92E2D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</w:t>
            </w:r>
            <w:r w:rsidR="00490225">
              <w:rPr>
                <w:rFonts w:ascii="Times New Roman CYR" w:hAnsi="Times New Roman CYR"/>
                <w:sz w:val="28"/>
              </w:rPr>
              <w:t>1</w:t>
            </w:r>
            <w:r w:rsidR="00A92E2D">
              <w:rPr>
                <w:rFonts w:ascii="Times New Roman CYR" w:hAnsi="Times New Roman CYR"/>
                <w:sz w:val="28"/>
              </w:rPr>
              <w:t>5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F06BBD">
        <w:rPr>
          <w:b/>
          <w:sz w:val="28"/>
          <w:szCs w:val="28"/>
        </w:rPr>
        <w:t>Староивановс</w:t>
      </w:r>
      <w:r w:rsidR="008123FE">
        <w:rPr>
          <w:b/>
          <w:sz w:val="28"/>
          <w:szCs w:val="28"/>
        </w:rPr>
        <w:t>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F06BBD">
        <w:rPr>
          <w:b/>
          <w:sz w:val="28"/>
          <w:szCs w:val="28"/>
        </w:rPr>
        <w:t>Староивановского</w:t>
      </w:r>
      <w:r w:rsidR="008123FE">
        <w:rPr>
          <w:b/>
          <w:sz w:val="28"/>
          <w:szCs w:val="28"/>
        </w:rPr>
        <w:t xml:space="preserve"> сельского поселения по </w:t>
      </w:r>
      <w:r w:rsidR="00F06BBD">
        <w:rPr>
          <w:b/>
          <w:sz w:val="28"/>
          <w:szCs w:val="28"/>
        </w:rPr>
        <w:t>Староивановс</w:t>
      </w:r>
      <w:r w:rsidR="00FD16A4">
        <w:rPr>
          <w:b/>
          <w:sz w:val="28"/>
          <w:szCs w:val="28"/>
        </w:rPr>
        <w:t>кому</w:t>
      </w:r>
      <w:r w:rsidR="008123FE">
        <w:rPr>
          <w:b/>
          <w:sz w:val="28"/>
          <w:szCs w:val="28"/>
        </w:rPr>
        <w:t xml:space="preserve"> </w:t>
      </w:r>
      <w:r w:rsidR="00F06BBD">
        <w:rPr>
          <w:b/>
          <w:sz w:val="28"/>
          <w:szCs w:val="28"/>
        </w:rPr>
        <w:t>двена</w:t>
      </w:r>
      <w:r w:rsidR="00FD16A4">
        <w:rPr>
          <w:b/>
          <w:sz w:val="28"/>
          <w:szCs w:val="28"/>
        </w:rPr>
        <w:t>дцати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8123FE">
        <w:rPr>
          <w:sz w:val="28"/>
          <w:szCs w:val="28"/>
        </w:rPr>
        <w:t xml:space="preserve"> </w:t>
      </w:r>
      <w:r w:rsidR="008123FE" w:rsidRPr="008123FE">
        <w:rPr>
          <w:sz w:val="28"/>
          <w:szCs w:val="28"/>
        </w:rPr>
        <w:t>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D75756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сельского поселения по </w:t>
      </w:r>
      <w:r w:rsidR="00F06BBD" w:rsidRPr="00F06BBD">
        <w:rPr>
          <w:sz w:val="28"/>
          <w:szCs w:val="28"/>
        </w:rPr>
        <w:t>Староивановс</w:t>
      </w:r>
      <w:r w:rsidR="00F06BBD">
        <w:rPr>
          <w:sz w:val="28"/>
          <w:szCs w:val="28"/>
        </w:rPr>
        <w:t>к</w:t>
      </w:r>
      <w:r w:rsidR="00FD16A4">
        <w:rPr>
          <w:sz w:val="28"/>
          <w:szCs w:val="28"/>
        </w:rPr>
        <w:t>ому</w:t>
      </w:r>
      <w:r w:rsidR="008123FE" w:rsidRPr="00D75756">
        <w:rPr>
          <w:sz w:val="28"/>
          <w:szCs w:val="28"/>
        </w:rPr>
        <w:t xml:space="preserve"> </w:t>
      </w:r>
      <w:r w:rsidR="00F06BBD">
        <w:rPr>
          <w:sz w:val="28"/>
          <w:szCs w:val="28"/>
        </w:rPr>
        <w:t>двена</w:t>
      </w:r>
      <w:r w:rsidR="00FD16A4">
        <w:rPr>
          <w:sz w:val="28"/>
          <w:szCs w:val="28"/>
        </w:rPr>
        <w:t>дцати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F06BBD">
        <w:rPr>
          <w:sz w:val="28"/>
          <w:szCs w:val="28"/>
        </w:rPr>
        <w:t xml:space="preserve">,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FD16A4" w:rsidRDefault="00625592" w:rsidP="00994FCA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091094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091094" w:rsidRPr="00091094">
        <w:rPr>
          <w:sz w:val="28"/>
          <w:szCs w:val="28"/>
        </w:rPr>
        <w:t>на</w:t>
      </w:r>
      <w:r w:rsidR="00091094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D75756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сельского поселения по </w:t>
      </w:r>
      <w:r w:rsidR="00F06BBD">
        <w:rPr>
          <w:sz w:val="28"/>
          <w:szCs w:val="28"/>
        </w:rPr>
        <w:t>Староиванов</w:t>
      </w:r>
      <w:r w:rsidR="00FD16A4">
        <w:rPr>
          <w:sz w:val="28"/>
          <w:szCs w:val="28"/>
        </w:rPr>
        <w:t>с</w:t>
      </w:r>
      <w:r w:rsidR="00D75756" w:rsidRPr="00D75756">
        <w:rPr>
          <w:sz w:val="28"/>
          <w:szCs w:val="28"/>
        </w:rPr>
        <w:t xml:space="preserve">кому </w:t>
      </w:r>
      <w:r w:rsidR="00F06BBD">
        <w:rPr>
          <w:sz w:val="28"/>
          <w:szCs w:val="28"/>
        </w:rPr>
        <w:t>двена</w:t>
      </w:r>
      <w:r w:rsidR="00FD16A4">
        <w:rPr>
          <w:sz w:val="28"/>
          <w:szCs w:val="28"/>
        </w:rPr>
        <w:t>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F06BBD">
        <w:rPr>
          <w:sz w:val="28"/>
          <w:szCs w:val="28"/>
        </w:rPr>
        <w:t>двена</w:t>
      </w:r>
      <w:r w:rsidR="00994FCA">
        <w:rPr>
          <w:sz w:val="28"/>
          <w:szCs w:val="28"/>
        </w:rPr>
        <w:t>дцать</w:t>
      </w:r>
      <w:r w:rsidR="00942ED8">
        <w:rPr>
          <w:sz w:val="28"/>
          <w:szCs w:val="28"/>
        </w:rPr>
        <w:t xml:space="preserve"> </w:t>
      </w:r>
      <w:r w:rsidR="00994FCA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>человек,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1328D5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1328D5">
        <w:rPr>
          <w:sz w:val="28"/>
          <w:szCs w:val="28"/>
        </w:rPr>
        <w:t>18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F06BBD" w:rsidRPr="00D75756" w:rsidRDefault="00F06BBD" w:rsidP="00994FCA">
      <w:pPr>
        <w:ind w:left="-52" w:right="142" w:firstLine="761"/>
        <w:jc w:val="both"/>
        <w:rPr>
          <w:sz w:val="28"/>
          <w:szCs w:val="28"/>
        </w:rPr>
      </w:pP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lastRenderedPageBreak/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06BBD" w:rsidRPr="00F06BBD">
        <w:rPr>
          <w:sz w:val="28"/>
          <w:szCs w:val="28"/>
        </w:rPr>
        <w:t>Староивановского</w:t>
      </w:r>
      <w:r w:rsidR="00994FCA" w:rsidRPr="00D75756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сельского поселения по </w:t>
      </w:r>
      <w:r w:rsidR="00F06BBD" w:rsidRPr="00F06BBD">
        <w:rPr>
          <w:sz w:val="28"/>
          <w:szCs w:val="28"/>
        </w:rPr>
        <w:t>Староивановс</w:t>
      </w:r>
      <w:r w:rsidR="00F06BBD">
        <w:rPr>
          <w:sz w:val="28"/>
          <w:szCs w:val="28"/>
        </w:rPr>
        <w:t>к</w:t>
      </w:r>
      <w:r w:rsidR="00D75756" w:rsidRPr="00D75756">
        <w:rPr>
          <w:sz w:val="28"/>
          <w:szCs w:val="28"/>
        </w:rPr>
        <w:t xml:space="preserve">ому </w:t>
      </w:r>
      <w:r w:rsidR="00F06BBD">
        <w:rPr>
          <w:sz w:val="28"/>
          <w:szCs w:val="28"/>
        </w:rPr>
        <w:t>двена</w:t>
      </w:r>
      <w:r w:rsidR="00FD16A4">
        <w:rPr>
          <w:sz w:val="28"/>
          <w:szCs w:val="28"/>
        </w:rPr>
        <w:t>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A92E2D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F06BBD" w:rsidRPr="00F06BBD">
        <w:rPr>
          <w:szCs w:val="28"/>
        </w:rPr>
        <w:t>Староивановского</w:t>
      </w:r>
      <w:r w:rsidR="00164910">
        <w:rPr>
          <w:szCs w:val="28"/>
        </w:rPr>
        <w:t xml:space="preserve"> </w:t>
      </w:r>
      <w:r w:rsidR="00450BAD">
        <w:rPr>
          <w:szCs w:val="28"/>
        </w:rPr>
        <w:t xml:space="preserve">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F06BBD" w:rsidRPr="00F06BBD">
        <w:rPr>
          <w:szCs w:val="28"/>
        </w:rPr>
        <w:t>Староивановско</w:t>
      </w:r>
      <w:r w:rsidR="00F06BBD">
        <w:rPr>
          <w:szCs w:val="28"/>
        </w:rPr>
        <w:t>му двена</w:t>
      </w:r>
      <w:r w:rsidR="00FD16A4">
        <w:rPr>
          <w:szCs w:val="28"/>
        </w:rPr>
        <w:t>дцати</w:t>
      </w:r>
      <w:r w:rsidR="00450BAD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D505BF" w:rsidRDefault="00D505BF" w:rsidP="00FD16A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FD16A4" w:rsidRPr="00D505BF" w:rsidRDefault="00FD16A4" w:rsidP="00FD16A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EF3CF7" w:rsidRDefault="00D505BF" w:rsidP="00D505BF">
      <w:pPr>
        <w:pStyle w:val="14-150"/>
        <w:widowControl/>
        <w:spacing w:line="240" w:lineRule="auto"/>
        <w:ind w:firstLine="0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>СПИСОК ЗАВЕРЕ</w:t>
      </w:r>
      <w:r w:rsidR="00D5056E" w:rsidRPr="00165624">
        <w:rPr>
          <w:b/>
          <w:bCs/>
        </w:rPr>
        <w:t>Н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A92E2D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D505BF">
        <w:rPr>
          <w:bCs/>
          <w:sz w:val="24"/>
          <w:szCs w:val="24"/>
        </w:rPr>
        <w:t>1</w:t>
      </w:r>
      <w:r w:rsidR="00164910">
        <w:rPr>
          <w:bCs/>
          <w:sz w:val="24"/>
          <w:szCs w:val="24"/>
        </w:rPr>
        <w:t>1</w:t>
      </w:r>
      <w:r w:rsidR="00A92E2D">
        <w:rPr>
          <w:bCs/>
          <w:sz w:val="24"/>
          <w:szCs w:val="24"/>
        </w:rPr>
        <w:t>5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FD16A4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450BAD">
        <w:rPr>
          <w:b/>
          <w:sz w:val="28"/>
          <w:szCs w:val="28"/>
        </w:rPr>
        <w:t xml:space="preserve">Земского собрания </w:t>
      </w:r>
      <w:r w:rsidR="00F06BBD">
        <w:rPr>
          <w:b/>
          <w:sz w:val="28"/>
          <w:szCs w:val="28"/>
        </w:rPr>
        <w:t>Староивано</w:t>
      </w:r>
      <w:r w:rsidR="00164910" w:rsidRPr="00164910">
        <w:rPr>
          <w:b/>
          <w:sz w:val="28"/>
          <w:szCs w:val="28"/>
        </w:rPr>
        <w:t>вского</w:t>
      </w:r>
      <w:r w:rsidR="00164910">
        <w:rPr>
          <w:b/>
          <w:sz w:val="28"/>
          <w:szCs w:val="28"/>
        </w:rPr>
        <w:t xml:space="preserve"> </w:t>
      </w:r>
      <w:r w:rsidR="00450BAD">
        <w:rPr>
          <w:b/>
          <w:sz w:val="28"/>
          <w:szCs w:val="28"/>
        </w:rPr>
        <w:t>сельского поселения 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Земского собрания </w:t>
      </w:r>
      <w:r w:rsidR="00F06BBD">
        <w:rPr>
          <w:b/>
          <w:sz w:val="28"/>
          <w:szCs w:val="28"/>
        </w:rPr>
        <w:t>Староиванов</w:t>
      </w:r>
      <w:r w:rsidR="00164910">
        <w:rPr>
          <w:b/>
          <w:sz w:val="28"/>
          <w:szCs w:val="28"/>
        </w:rPr>
        <w:t>с</w:t>
      </w:r>
      <w:r w:rsidR="00450BAD">
        <w:rPr>
          <w:b/>
          <w:sz w:val="28"/>
          <w:szCs w:val="28"/>
        </w:rPr>
        <w:t xml:space="preserve">кого сельского поселения по </w:t>
      </w:r>
      <w:r w:rsidR="00F06BBD">
        <w:rPr>
          <w:b/>
          <w:sz w:val="28"/>
          <w:szCs w:val="28"/>
        </w:rPr>
        <w:t>Староивано</w:t>
      </w:r>
      <w:r w:rsidR="00164910">
        <w:rPr>
          <w:b/>
          <w:sz w:val="28"/>
          <w:szCs w:val="28"/>
        </w:rPr>
        <w:t>вскому</w:t>
      </w:r>
      <w:r w:rsidR="00FD16A4">
        <w:rPr>
          <w:b/>
          <w:sz w:val="28"/>
          <w:szCs w:val="28"/>
        </w:rPr>
        <w:t xml:space="preserve"> </w:t>
      </w:r>
      <w:r w:rsidR="00F06BBD">
        <w:rPr>
          <w:b/>
          <w:sz w:val="28"/>
          <w:szCs w:val="28"/>
        </w:rPr>
        <w:t>двена</w:t>
      </w:r>
      <w:r w:rsidR="00FD16A4">
        <w:rPr>
          <w:b/>
          <w:sz w:val="28"/>
          <w:szCs w:val="28"/>
        </w:rPr>
        <w:t>дцати</w:t>
      </w:r>
      <w:r w:rsidRPr="00EF3CF7">
        <w:rPr>
          <w:b/>
          <w:sz w:val="28"/>
          <w:szCs w:val="28"/>
        </w:rPr>
        <w:t>мандатному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512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418"/>
        <w:gridCol w:w="3402"/>
        <w:gridCol w:w="2976"/>
        <w:gridCol w:w="1134"/>
        <w:gridCol w:w="2693"/>
      </w:tblGrid>
      <w:tr w:rsidR="00B32AB9" w:rsidRPr="009C5F99" w:rsidTr="00B32AB9">
        <w:trPr>
          <w:trHeight w:val="1944"/>
        </w:trPr>
        <w:tc>
          <w:tcPr>
            <w:tcW w:w="425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82E5F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1702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Фамилия, имя, отчество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Дата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рождения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3402" w:type="dxa"/>
          </w:tcPr>
          <w:p w:rsidR="00165624" w:rsidRPr="00E82E5F" w:rsidRDefault="00165624" w:rsidP="00B673A4">
            <w:pPr>
              <w:jc w:val="center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 xml:space="preserve">Основное место работы или службы, занимаемая </w:t>
            </w:r>
            <w:r w:rsidRPr="00E82E5F">
              <w:rPr>
                <w:b/>
                <w:sz w:val="18"/>
                <w:szCs w:val="18"/>
              </w:rPr>
              <w:br/>
              <w:t>должность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2976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134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>Сведения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 xml:space="preserve"> о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82E5F">
              <w:rPr>
                <w:b/>
                <w:sz w:val="18"/>
                <w:szCs w:val="18"/>
              </w:rPr>
              <w:t xml:space="preserve"> судимости</w:t>
            </w:r>
          </w:p>
        </w:tc>
        <w:tc>
          <w:tcPr>
            <w:tcW w:w="2693" w:type="dxa"/>
            <w:vAlign w:val="center"/>
          </w:tcPr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E82E5F">
              <w:rPr>
                <w:b/>
                <w:bCs/>
                <w:sz w:val="18"/>
                <w:szCs w:val="18"/>
              </w:rPr>
              <w:t xml:space="preserve">Принадлежность к Партии </w:t>
            </w:r>
          </w:p>
          <w:p w:rsidR="00165624" w:rsidRPr="00E82E5F" w:rsidRDefault="00165624" w:rsidP="00B673A4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E5F">
              <w:rPr>
                <w:b/>
                <w:bCs/>
                <w:sz w:val="18"/>
                <w:szCs w:val="18"/>
              </w:rPr>
              <w:t>(является членом партии; не является членом партии)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1.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Виноградова Нина Павловна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1963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Пенсионерка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 xml:space="preserve">епутат Земского собрания Староивановского сельского поселения </w:t>
            </w:r>
            <w:r>
              <w:t>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2.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Демченко Светлана Николаевна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1968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Индивидуальный предпри-ниматель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Беспартийная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3.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Кравченко</w:t>
            </w:r>
          </w:p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Сергей Николаевич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1975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ОГПУ «Межрайонная станция по борьбе с болезнями животных по Волоконовскому  и Валуйскому  району, заместитель начальника-главного ветеринарного врача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4.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Лысенко</w:t>
            </w:r>
          </w:p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Сергей Павлович</w:t>
            </w:r>
          </w:p>
          <w:p w:rsidR="00165624" w:rsidRPr="00A92E2D" w:rsidRDefault="00165624" w:rsidP="00B673A4">
            <w:pPr>
              <w:jc w:val="center"/>
            </w:pPr>
          </w:p>
          <w:p w:rsidR="00165624" w:rsidRPr="00A92E2D" w:rsidRDefault="00165624" w:rsidP="00B673A4">
            <w:pPr>
              <w:jc w:val="center"/>
            </w:pP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1966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jc w:val="center"/>
            </w:pPr>
            <w:r w:rsidRPr="00A92E2D">
              <w:t>Временно не работает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lastRenderedPageBreak/>
              <w:t>5.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Липенская</w:t>
            </w:r>
          </w:p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Зоя Александровна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1969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МБОУ «Староивановская СОШ», учитель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Беспартийная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6.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Твиритина Надежда Алексеевна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1967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Пенсионер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Н</w:t>
            </w:r>
            <w:r w:rsidRPr="00A92E2D">
              <w:t xml:space="preserve">е является депутатом 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Беспартийная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7.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Рыбальченко Евгения Викторовна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1984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МКУ «</w:t>
            </w:r>
            <w:r w:rsidRPr="00234094">
              <w:t xml:space="preserve">Административно-хозяйственный центр обеспечения деятельности органов местного самоуправления муниципального района </w:t>
            </w:r>
            <w:r>
              <w:t xml:space="preserve">«Волоконовский район», </w:t>
            </w:r>
            <w:r w:rsidRPr="00A92E2D">
              <w:t>специалист по землеустройству и муниципальной собственности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8.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Липенская</w:t>
            </w:r>
          </w:p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Олеся Юрьевна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1988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МБОУ «Староивановская СОШ», заместитель директора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Беспартийная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9.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Репетунова</w:t>
            </w:r>
          </w:p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Ольга Григорьевна</w:t>
            </w:r>
          </w:p>
          <w:p w:rsidR="00165624" w:rsidRPr="00A92E2D" w:rsidRDefault="00165624" w:rsidP="00B673A4">
            <w:pPr>
              <w:jc w:val="center"/>
            </w:pP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1973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МБОУ «Староивановская СОШ», учитель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10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Колесниченко Дина Николаевна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1976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МДОУ «Староивановский детский сад», заведующая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11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jc w:val="center"/>
            </w:pPr>
            <w:r w:rsidRPr="00A92E2D">
              <w:t>Сабирова</w:t>
            </w:r>
          </w:p>
          <w:p w:rsidR="00165624" w:rsidRPr="00A92E2D" w:rsidRDefault="00165624" w:rsidP="00B673A4">
            <w:pPr>
              <w:jc w:val="center"/>
            </w:pPr>
            <w:r w:rsidRPr="00A92E2D">
              <w:t>Ольга Геннадьевна</w:t>
            </w:r>
          </w:p>
          <w:p w:rsidR="00165624" w:rsidRPr="00A92E2D" w:rsidRDefault="00165624" w:rsidP="00B673A4">
            <w:pPr>
              <w:jc w:val="center"/>
            </w:pPr>
          </w:p>
          <w:p w:rsidR="00165624" w:rsidRPr="00A92E2D" w:rsidRDefault="00165624" w:rsidP="00B673A4">
            <w:pPr>
              <w:tabs>
                <w:tab w:val="left" w:pos="1260"/>
              </w:tabs>
              <w:jc w:val="center"/>
            </w:pPr>
          </w:p>
        </w:tc>
        <w:tc>
          <w:tcPr>
            <w:tcW w:w="1417" w:type="dxa"/>
          </w:tcPr>
          <w:p w:rsidR="00165624" w:rsidRPr="00A92E2D" w:rsidRDefault="00165624" w:rsidP="00B673A4">
            <w:pPr>
              <w:jc w:val="center"/>
            </w:pPr>
            <w:r w:rsidRPr="00A92E2D">
              <w:t>.1990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jc w:val="center"/>
            </w:pPr>
            <w:r w:rsidRPr="00A92E2D">
              <w:t>Староивановское почтовое отделение, заведующая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Н</w:t>
            </w:r>
            <w:r w:rsidRPr="00A92E2D">
              <w:t>е является депутатом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</w:pPr>
            <w:r w:rsidRPr="00A92E2D">
              <w:t>Беспартийная</w:t>
            </w:r>
          </w:p>
        </w:tc>
      </w:tr>
      <w:tr w:rsidR="00B32AB9" w:rsidRPr="00A92E2D" w:rsidTr="00B32AB9">
        <w:trPr>
          <w:trHeight w:val="638"/>
        </w:trPr>
        <w:tc>
          <w:tcPr>
            <w:tcW w:w="425" w:type="dxa"/>
            <w:vAlign w:val="center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A92E2D">
              <w:rPr>
                <w:bCs/>
              </w:rPr>
              <w:t>12</w:t>
            </w:r>
          </w:p>
        </w:tc>
        <w:tc>
          <w:tcPr>
            <w:tcW w:w="17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Костромина Юлия Васильевна</w:t>
            </w:r>
          </w:p>
        </w:tc>
        <w:tc>
          <w:tcPr>
            <w:tcW w:w="1417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1996</w:t>
            </w:r>
          </w:p>
        </w:tc>
        <w:tc>
          <w:tcPr>
            <w:tcW w:w="1418" w:type="dxa"/>
          </w:tcPr>
          <w:p w:rsidR="00165624" w:rsidRPr="00A92E2D" w:rsidRDefault="00165624" w:rsidP="00B673A4">
            <w:pPr>
              <w:jc w:val="center"/>
            </w:pPr>
            <w:r w:rsidRPr="00A92E2D">
              <w:t>РФ</w:t>
            </w:r>
          </w:p>
        </w:tc>
        <w:tc>
          <w:tcPr>
            <w:tcW w:w="3402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МБУК «Староивановский</w:t>
            </w:r>
            <w:r>
              <w:t xml:space="preserve"> </w:t>
            </w:r>
            <w:r w:rsidRPr="00A92E2D">
              <w:t>сельский Дом культуры», уборщица</w:t>
            </w:r>
          </w:p>
        </w:tc>
        <w:tc>
          <w:tcPr>
            <w:tcW w:w="2976" w:type="dxa"/>
          </w:tcPr>
          <w:p w:rsidR="00165624" w:rsidRPr="00A92E2D" w:rsidRDefault="00165624" w:rsidP="00B673A4">
            <w:pPr>
              <w:tabs>
                <w:tab w:val="left" w:pos="142"/>
              </w:tabs>
              <w:jc w:val="center"/>
            </w:pPr>
            <w:r>
              <w:t>Д</w:t>
            </w:r>
            <w:r w:rsidRPr="00A92E2D">
              <w:t>епутат Земского собрания Староивановского сельского поселения</w:t>
            </w:r>
            <w:r>
              <w:t xml:space="preserve"> 4 созыва</w:t>
            </w:r>
          </w:p>
        </w:tc>
        <w:tc>
          <w:tcPr>
            <w:tcW w:w="1134" w:type="dxa"/>
          </w:tcPr>
          <w:p w:rsidR="00165624" w:rsidRPr="00A92E2D" w:rsidRDefault="00165624" w:rsidP="00B673A4">
            <w:pPr>
              <w:jc w:val="center"/>
            </w:pPr>
            <w:r w:rsidRPr="00A92E2D">
              <w:t>Не имеет</w:t>
            </w:r>
          </w:p>
        </w:tc>
        <w:tc>
          <w:tcPr>
            <w:tcW w:w="2693" w:type="dxa"/>
          </w:tcPr>
          <w:p w:rsidR="00165624" w:rsidRPr="00A92E2D" w:rsidRDefault="00165624" w:rsidP="00B673A4">
            <w:pPr>
              <w:tabs>
                <w:tab w:val="left" w:pos="7183"/>
              </w:tabs>
              <w:jc w:val="center"/>
            </w:pPr>
            <w:r w:rsidRPr="00A92E2D">
              <w:t>Член партии «ЕДИНАЯ РОССИЯ»</w:t>
            </w:r>
          </w:p>
        </w:tc>
      </w:tr>
    </w:tbl>
    <w:p w:rsidR="00A37586" w:rsidRPr="00A92E2D" w:rsidRDefault="00A37586" w:rsidP="00A92E2D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sectPr w:rsidR="00A37586" w:rsidRPr="00A92E2D" w:rsidSect="00A92E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B7" w:rsidRDefault="00544AB7">
      <w:r>
        <w:separator/>
      </w:r>
    </w:p>
  </w:endnote>
  <w:endnote w:type="continuationSeparator" w:id="0">
    <w:p w:rsidR="00544AB7" w:rsidRDefault="0054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B7" w:rsidRDefault="00544AB7">
      <w:r>
        <w:separator/>
      </w:r>
    </w:p>
  </w:footnote>
  <w:footnote w:type="continuationSeparator" w:id="0">
    <w:p w:rsidR="00544AB7" w:rsidRDefault="0054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1094"/>
    <w:rsid w:val="00097D85"/>
    <w:rsid w:val="000F0A7F"/>
    <w:rsid w:val="000F4B6B"/>
    <w:rsid w:val="00100933"/>
    <w:rsid w:val="0010464C"/>
    <w:rsid w:val="001124FF"/>
    <w:rsid w:val="00122CD9"/>
    <w:rsid w:val="001328D5"/>
    <w:rsid w:val="00134EF6"/>
    <w:rsid w:val="00153F80"/>
    <w:rsid w:val="00164910"/>
    <w:rsid w:val="00165624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34094"/>
    <w:rsid w:val="00250B85"/>
    <w:rsid w:val="00260A36"/>
    <w:rsid w:val="0028192D"/>
    <w:rsid w:val="0028268A"/>
    <w:rsid w:val="00283A03"/>
    <w:rsid w:val="00283B7E"/>
    <w:rsid w:val="002A00A0"/>
    <w:rsid w:val="002D1B52"/>
    <w:rsid w:val="002F0299"/>
    <w:rsid w:val="002F288D"/>
    <w:rsid w:val="00313AE3"/>
    <w:rsid w:val="003149AA"/>
    <w:rsid w:val="003242A4"/>
    <w:rsid w:val="003440A9"/>
    <w:rsid w:val="003462F7"/>
    <w:rsid w:val="00353775"/>
    <w:rsid w:val="00365759"/>
    <w:rsid w:val="0038783A"/>
    <w:rsid w:val="003A5C65"/>
    <w:rsid w:val="003A61E2"/>
    <w:rsid w:val="003B0894"/>
    <w:rsid w:val="003C0055"/>
    <w:rsid w:val="003C3701"/>
    <w:rsid w:val="003D025D"/>
    <w:rsid w:val="003E659B"/>
    <w:rsid w:val="003E7F37"/>
    <w:rsid w:val="004124FB"/>
    <w:rsid w:val="0043244B"/>
    <w:rsid w:val="00437EE2"/>
    <w:rsid w:val="00441CD9"/>
    <w:rsid w:val="00450BAD"/>
    <w:rsid w:val="0046391F"/>
    <w:rsid w:val="00471518"/>
    <w:rsid w:val="00473FA9"/>
    <w:rsid w:val="00477B96"/>
    <w:rsid w:val="00486B47"/>
    <w:rsid w:val="00490225"/>
    <w:rsid w:val="00497355"/>
    <w:rsid w:val="004A0721"/>
    <w:rsid w:val="004A309B"/>
    <w:rsid w:val="004B4A75"/>
    <w:rsid w:val="004C1DE8"/>
    <w:rsid w:val="004E0422"/>
    <w:rsid w:val="004E791E"/>
    <w:rsid w:val="004F4422"/>
    <w:rsid w:val="004F4BD1"/>
    <w:rsid w:val="0051138C"/>
    <w:rsid w:val="005261EC"/>
    <w:rsid w:val="005361F6"/>
    <w:rsid w:val="00541D12"/>
    <w:rsid w:val="00544AB7"/>
    <w:rsid w:val="0055677B"/>
    <w:rsid w:val="005732EB"/>
    <w:rsid w:val="005761B4"/>
    <w:rsid w:val="005806E2"/>
    <w:rsid w:val="005B0475"/>
    <w:rsid w:val="005B0979"/>
    <w:rsid w:val="005B6612"/>
    <w:rsid w:val="005C68D4"/>
    <w:rsid w:val="005D24D0"/>
    <w:rsid w:val="005E59F6"/>
    <w:rsid w:val="005E7C38"/>
    <w:rsid w:val="005F0ED5"/>
    <w:rsid w:val="006103C0"/>
    <w:rsid w:val="0061193B"/>
    <w:rsid w:val="00612032"/>
    <w:rsid w:val="006138B2"/>
    <w:rsid w:val="00614084"/>
    <w:rsid w:val="00625592"/>
    <w:rsid w:val="00635627"/>
    <w:rsid w:val="00644ECC"/>
    <w:rsid w:val="00646058"/>
    <w:rsid w:val="006462A2"/>
    <w:rsid w:val="00655303"/>
    <w:rsid w:val="00656A01"/>
    <w:rsid w:val="0067119E"/>
    <w:rsid w:val="00676770"/>
    <w:rsid w:val="006A5291"/>
    <w:rsid w:val="006B340D"/>
    <w:rsid w:val="006B4501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92F6B"/>
    <w:rsid w:val="00795733"/>
    <w:rsid w:val="007D473D"/>
    <w:rsid w:val="00805E61"/>
    <w:rsid w:val="008123FE"/>
    <w:rsid w:val="00812503"/>
    <w:rsid w:val="00824FF9"/>
    <w:rsid w:val="00850BBF"/>
    <w:rsid w:val="008519EC"/>
    <w:rsid w:val="00896F1A"/>
    <w:rsid w:val="008A474D"/>
    <w:rsid w:val="009023D8"/>
    <w:rsid w:val="00924DC1"/>
    <w:rsid w:val="00925F92"/>
    <w:rsid w:val="00936ECE"/>
    <w:rsid w:val="00937D3D"/>
    <w:rsid w:val="00942ED8"/>
    <w:rsid w:val="009506DB"/>
    <w:rsid w:val="0095625B"/>
    <w:rsid w:val="00994FCA"/>
    <w:rsid w:val="009A37D7"/>
    <w:rsid w:val="009A5599"/>
    <w:rsid w:val="009A5A07"/>
    <w:rsid w:val="009B5DBC"/>
    <w:rsid w:val="009C1BAE"/>
    <w:rsid w:val="009C5F99"/>
    <w:rsid w:val="009D673D"/>
    <w:rsid w:val="009E069D"/>
    <w:rsid w:val="00A06D1B"/>
    <w:rsid w:val="00A32384"/>
    <w:rsid w:val="00A37586"/>
    <w:rsid w:val="00A376FD"/>
    <w:rsid w:val="00A6395C"/>
    <w:rsid w:val="00A91C2E"/>
    <w:rsid w:val="00A92E2D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2AB9"/>
    <w:rsid w:val="00B361AB"/>
    <w:rsid w:val="00B40E2B"/>
    <w:rsid w:val="00B415A9"/>
    <w:rsid w:val="00B44DED"/>
    <w:rsid w:val="00B57A52"/>
    <w:rsid w:val="00B63F92"/>
    <w:rsid w:val="00B66FF5"/>
    <w:rsid w:val="00B673A4"/>
    <w:rsid w:val="00BA3DB9"/>
    <w:rsid w:val="00BB00CD"/>
    <w:rsid w:val="00BB7B6F"/>
    <w:rsid w:val="00BC0DBD"/>
    <w:rsid w:val="00BE531B"/>
    <w:rsid w:val="00C026C9"/>
    <w:rsid w:val="00C038AC"/>
    <w:rsid w:val="00C209CB"/>
    <w:rsid w:val="00C31D61"/>
    <w:rsid w:val="00C31FF2"/>
    <w:rsid w:val="00C36963"/>
    <w:rsid w:val="00C46E11"/>
    <w:rsid w:val="00C71530"/>
    <w:rsid w:val="00C84419"/>
    <w:rsid w:val="00C86438"/>
    <w:rsid w:val="00C949F0"/>
    <w:rsid w:val="00CA3D6B"/>
    <w:rsid w:val="00CA6128"/>
    <w:rsid w:val="00CB2FE8"/>
    <w:rsid w:val="00CC0100"/>
    <w:rsid w:val="00CC4EB0"/>
    <w:rsid w:val="00CD0658"/>
    <w:rsid w:val="00CD3457"/>
    <w:rsid w:val="00CE187E"/>
    <w:rsid w:val="00D03BFA"/>
    <w:rsid w:val="00D3464C"/>
    <w:rsid w:val="00D5056E"/>
    <w:rsid w:val="00D505BF"/>
    <w:rsid w:val="00D55145"/>
    <w:rsid w:val="00D637D1"/>
    <w:rsid w:val="00D63F21"/>
    <w:rsid w:val="00D75756"/>
    <w:rsid w:val="00DA0047"/>
    <w:rsid w:val="00DA284A"/>
    <w:rsid w:val="00DD4718"/>
    <w:rsid w:val="00E2392A"/>
    <w:rsid w:val="00E34FF5"/>
    <w:rsid w:val="00E82E5F"/>
    <w:rsid w:val="00E83092"/>
    <w:rsid w:val="00E97B7E"/>
    <w:rsid w:val="00EA0F5C"/>
    <w:rsid w:val="00EA1D80"/>
    <w:rsid w:val="00EB52AF"/>
    <w:rsid w:val="00EC3342"/>
    <w:rsid w:val="00EC464E"/>
    <w:rsid w:val="00ED5A47"/>
    <w:rsid w:val="00EE7299"/>
    <w:rsid w:val="00EF3CF7"/>
    <w:rsid w:val="00F05355"/>
    <w:rsid w:val="00F06BBD"/>
    <w:rsid w:val="00F119AF"/>
    <w:rsid w:val="00F25849"/>
    <w:rsid w:val="00F27E91"/>
    <w:rsid w:val="00F414A8"/>
    <w:rsid w:val="00F44FB7"/>
    <w:rsid w:val="00F47C9F"/>
    <w:rsid w:val="00F50944"/>
    <w:rsid w:val="00F65697"/>
    <w:rsid w:val="00F80230"/>
    <w:rsid w:val="00F91055"/>
    <w:rsid w:val="00F976ED"/>
    <w:rsid w:val="00FC0908"/>
    <w:rsid w:val="00FD16A4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496610D-755E-4E4C-A68F-A9F6B731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2023-06-30T11:04:00Z</cp:lastPrinted>
  <dcterms:created xsi:type="dcterms:W3CDTF">2023-07-04T05:25:00Z</dcterms:created>
  <dcterms:modified xsi:type="dcterms:W3CDTF">2023-07-04T05:25:00Z</dcterms:modified>
</cp:coreProperties>
</file>