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Утверждаю:            </w:t>
      </w:r>
      <w:r>
        <w:rPr>
          <w:rStyle w:val="715"/>
          <w:rFonts w:ascii="Tinos" w:hAnsi="Tinos" w:eastAsia="Tinos" w:cs="Tinos"/>
          <w:sz w:val="28"/>
          <w:szCs w:val="28"/>
        </w:rPr>
        <w:t xml:space="preserve">  </w:t>
      </w:r>
      <w:r>
        <w:rPr>
          <w:rStyle w:val="715"/>
          <w:rFonts w:ascii="Tinos" w:hAnsi="Tinos" w:eastAsia="Tinos" w:cs="Tinos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Style w:val="898"/>
        <w:ind w:left="4248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-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безопасности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И.С. Карлин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«Обеспечение безопасности жизнедеятельности населения Волокон</w:t>
      </w:r>
      <w:r>
        <w:rPr>
          <w:rFonts w:ascii="Tinos" w:hAnsi="Tinos" w:eastAsia="Tinos" w:cs="Tinos"/>
          <w:b/>
          <w:sz w:val="28"/>
          <w:szCs w:val="28"/>
        </w:rPr>
        <w:t xml:space="preserve">овского района</w:t>
      </w:r>
      <w:r>
        <w:rPr>
          <w:rFonts w:ascii="Tinos" w:hAnsi="Tinos" w:eastAsia="Tinos" w:cs="Tinos"/>
          <w:b/>
          <w:sz w:val="28"/>
          <w:szCs w:val="28"/>
        </w:rPr>
        <w:t xml:space="preserve">»</w:t>
      </w:r>
      <w:r>
        <w:rPr>
          <w:rFonts w:ascii="Tinos" w:hAnsi="Tinos" w:eastAsia="Tinos" w:cs="Tinos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rPr>
          <w:b/>
        </w:rPr>
        <w:framePr w:w="0" w:hSpace="0" w:wrap="auto" w:vAnchor="margin" w:hAnchor="text" w:yAlign="inline" w:hRule="auto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«Волоконовский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формирования отчета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2"/>
      </w:pPr>
      <w:r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left"/>
        <w:spacing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92"/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к муниципальной программе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олоконовского района </w:t>
      </w:r>
      <w:r>
        <w:rPr>
          <w:rFonts w:ascii="Times New Roman" w:hAnsi="Times New Roman"/>
          <w:b/>
          <w:sz w:val="28"/>
          <w:szCs w:val="28"/>
        </w:rPr>
        <w:t xml:space="preserve">«Обеспечение</w:t>
      </w:r>
      <w:r>
        <w:rPr>
          <w:rFonts w:ascii="Times New Roman" w:hAnsi="Times New Roman"/>
          <w:b/>
          <w:sz w:val="28"/>
          <w:szCs w:val="28"/>
        </w:rPr>
        <w:t xml:space="preserve"> безопасности жизнедеятельности населения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5"/>
        <w:contextualSpacing/>
        <w:rPr>
          <w:szCs w:val="28"/>
          <w:lang w:val="ru-RU"/>
        </w:rPr>
        <w:framePr w:w="0" w:hSpace="0" w:wrap="auto" w:vAnchor="page" w:hAnchor="page" w:x="1184" w:y="2550" w:hRule="auto"/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36"/>
          <w:szCs w:val="36"/>
        </w:rPr>
      </w:pPr>
      <w:r>
        <w:rPr>
          <w:rFonts w:ascii="Tinos" w:hAnsi="Tinos" w:eastAsia="Tinos" w:cs="Tinos"/>
          <w:sz w:val="36"/>
          <w:szCs w:val="36"/>
          <w:highlight w:val="none"/>
        </w:rPr>
      </w:r>
      <w:r>
        <w:rPr>
          <w:rFonts w:ascii="Tinos" w:hAnsi="Tinos" w:eastAsia="Tinos" w:cs="Tinos"/>
          <w:sz w:val="28"/>
          <w:szCs w:val="36"/>
        </w:rPr>
        <w:t xml:space="preserve">Муниципальная программа Волоконовского района </w:t>
      </w:r>
      <w:r>
        <w:rPr>
          <w:rFonts w:ascii="Tinos" w:hAnsi="Tinos" w:eastAsia="Tinos" w:cs="Tinos"/>
          <w:sz w:val="28"/>
          <w:szCs w:val="28"/>
        </w:rPr>
        <w:t xml:space="preserve">«Обеспечение безопасности жизнедеятельности населения Волоконовского района</w:t>
      </w:r>
      <w:r>
        <w:rPr>
          <w:rFonts w:ascii="Tinos" w:hAnsi="Tinos" w:eastAsia="Tinos" w:cs="Tinos"/>
          <w:sz w:val="28"/>
          <w:szCs w:val="28"/>
          <w:lang w:val="ru-RU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36"/>
        </w:rPr>
        <w:t xml:space="preserve"> утверждена </w:t>
      </w:r>
      <w:r>
        <w:rPr>
          <w:rFonts w:ascii="Tinos" w:hAnsi="Tinos" w:eastAsia="Tinos" w:cs="Tinos"/>
          <w:sz w:val="28"/>
          <w:szCs w:val="28"/>
        </w:rPr>
        <w:fldChar w:fldCharType="begin"/>
      </w:r>
      <w:r>
        <w:rPr>
          <w:rFonts w:ascii="Tinos" w:hAnsi="Tinos" w:eastAsia="Tinos" w:cs="Tinos"/>
          <w:sz w:val="28"/>
          <w:szCs w:val="28"/>
        </w:rPr>
        <w:instrText xml:space="preserve"> HYPERLINK "consultantplus://offline/ref=65A3B46BED77EA549F53D2DDA002219C6376DD9E866CD1BED59C8D3574441B1EOE2BF" </w:instrText>
      </w:r>
      <w:r>
        <w:rPr>
          <w:rFonts w:ascii="Tinos" w:hAnsi="Tinos" w:eastAsia="Tinos" w:cs="Tinos"/>
          <w:sz w:val="28"/>
          <w:szCs w:val="28"/>
        </w:rPr>
        <w:fldChar w:fldCharType="separate"/>
      </w:r>
      <w:r>
        <w:rPr>
          <w:rFonts w:ascii="Tinos" w:hAnsi="Tinos" w:eastAsia="Tinos" w:cs="Tinos"/>
          <w:sz w:val="28"/>
          <w:szCs w:val="36"/>
        </w:rPr>
        <w:t xml:space="preserve">постановление</w:t>
      </w:r>
      <w:r>
        <w:rPr>
          <w:rFonts w:ascii="Tinos" w:hAnsi="Tinos" w:eastAsia="Tinos" w:cs="Tinos"/>
          <w:sz w:val="28"/>
          <w:szCs w:val="36"/>
        </w:rPr>
        <w:fldChar w:fldCharType="end"/>
      </w:r>
      <w:r>
        <w:rPr>
          <w:rFonts w:ascii="Tinos" w:hAnsi="Tinos" w:eastAsia="Tinos" w:cs="Tinos"/>
          <w:sz w:val="28"/>
          <w:szCs w:val="36"/>
        </w:rPr>
        <w:t xml:space="preserve">м главы администрации ра</w:t>
      </w:r>
      <w:r>
        <w:rPr>
          <w:rFonts w:ascii="Tinos" w:hAnsi="Tinos" w:eastAsia="Tinos" w:cs="Tinos"/>
          <w:sz w:val="28"/>
          <w:szCs w:val="36"/>
        </w:rPr>
        <w:t xml:space="preserve">йона от</w:t>
      </w:r>
      <w:r>
        <w:rPr>
          <w:rFonts w:ascii="Tinos" w:hAnsi="Tinos" w:eastAsia="Tinos" w:cs="Tinos"/>
          <w:sz w:val="28"/>
          <w:szCs w:val="36"/>
        </w:rPr>
        <w:t xml:space="preserve"> </w:t>
      </w:r>
      <w:r>
        <w:rPr>
          <w:rFonts w:ascii="Tinos" w:hAnsi="Tinos" w:eastAsia="Tinos" w:cs="Tinos"/>
          <w:sz w:val="28"/>
          <w:szCs w:val="36"/>
        </w:rPr>
        <w:t xml:space="preserve">03</w:t>
      </w:r>
      <w:r>
        <w:rPr>
          <w:rFonts w:ascii="Tinos" w:hAnsi="Tinos" w:eastAsia="Tinos" w:cs="Tinos"/>
          <w:sz w:val="28"/>
          <w:szCs w:val="36"/>
        </w:rPr>
        <w:t xml:space="preserve"> сентября 2014 года №</w:t>
      </w:r>
      <w:r>
        <w:rPr>
          <w:rFonts w:ascii="Tinos" w:hAnsi="Tinos" w:eastAsia="Tinos" w:cs="Tinos"/>
          <w:sz w:val="28"/>
          <w:szCs w:val="36"/>
        </w:rPr>
        <w:t xml:space="preserve"> </w:t>
      </w:r>
      <w:r>
        <w:rPr>
          <w:rFonts w:ascii="Tinos" w:hAnsi="Tinos" w:eastAsia="Tinos" w:cs="Tinos"/>
          <w:sz w:val="28"/>
          <w:szCs w:val="36"/>
        </w:rPr>
        <w:t xml:space="preserve">3</w:t>
      </w:r>
      <w:r>
        <w:rPr>
          <w:rFonts w:ascii="Tinos" w:hAnsi="Tinos" w:eastAsia="Tinos" w:cs="Tinos"/>
          <w:sz w:val="28"/>
          <w:szCs w:val="36"/>
        </w:rPr>
        <w:t xml:space="preserve">33</w:t>
      </w:r>
      <w:r>
        <w:rPr>
          <w:rFonts w:ascii="Tinos" w:hAnsi="Tinos" w:eastAsia="Tinos" w:cs="Tinos"/>
          <w:sz w:val="28"/>
          <w:szCs w:val="36"/>
        </w:rPr>
        <w:t xml:space="preserve">.</w:t>
      </w:r>
      <w:r>
        <w:rPr>
          <w:rFonts w:ascii="Tinos" w:hAnsi="Tinos" w:eastAsia="Tinos" w:cs="Tinos"/>
          <w:sz w:val="28"/>
          <w:szCs w:val="36"/>
        </w:rPr>
        <w:t xml:space="preserve"> В целях актуализации и повышения эффективности реализации муниципальной программы принят</w:t>
      </w:r>
      <w:r>
        <w:rPr>
          <w:rFonts w:ascii="Tinos" w:hAnsi="Tinos" w:eastAsia="Tinos" w:cs="Tinos"/>
          <w:sz w:val="28"/>
          <w:szCs w:val="36"/>
          <w:lang w:val="ru-RU"/>
        </w:rPr>
        <w:t xml:space="preserve">о</w:t>
      </w:r>
      <w:r>
        <w:rPr>
          <w:rFonts w:ascii="Tinos" w:hAnsi="Tinos" w:eastAsia="Tinos" w:cs="Tinos"/>
          <w:sz w:val="28"/>
          <w:szCs w:val="36"/>
        </w:rPr>
        <w:t xml:space="preserve"> постановлени</w:t>
      </w:r>
      <w:r>
        <w:rPr>
          <w:rFonts w:ascii="Tinos" w:hAnsi="Tinos" w:eastAsia="Tinos" w:cs="Tinos"/>
          <w:sz w:val="28"/>
          <w:szCs w:val="36"/>
          <w:lang w:val="ru-RU"/>
        </w:rPr>
        <w:t xml:space="preserve">е</w:t>
      </w:r>
      <w:r>
        <w:rPr>
          <w:rFonts w:ascii="Tinos" w:hAnsi="Tinos" w:eastAsia="Tinos" w:cs="Tinos"/>
          <w:sz w:val="28"/>
          <w:szCs w:val="36"/>
        </w:rPr>
        <w:t xml:space="preserve"> главы администрации района </w:t>
      </w:r>
      <w:r>
        <w:rPr>
          <w:rFonts w:ascii="Tinos" w:hAnsi="Tinos" w:eastAsia="Tinos" w:cs="Tinos"/>
          <w:sz w:val="28"/>
          <w:szCs w:val="36"/>
        </w:rPr>
        <w:t xml:space="preserve">от </w:t>
      </w:r>
      <w:r>
        <w:rPr>
          <w:rFonts w:ascii="Tinos" w:hAnsi="Tinos" w:eastAsia="Tinos" w:cs="Tinos"/>
          <w:sz w:val="28"/>
          <w:szCs w:val="36"/>
          <w:lang w:val="ru-RU"/>
        </w:rPr>
        <w:t xml:space="preserve">28</w:t>
      </w:r>
      <w:r>
        <w:rPr>
          <w:rFonts w:ascii="Tinos" w:hAnsi="Tinos" w:eastAsia="Tinos" w:cs="Tinos"/>
          <w:sz w:val="28"/>
          <w:szCs w:val="36"/>
        </w:rPr>
        <w:t xml:space="preserve"> </w:t>
      </w:r>
      <w:r>
        <w:rPr>
          <w:rFonts w:ascii="Tinos" w:hAnsi="Tinos" w:eastAsia="Tinos" w:cs="Tinos"/>
          <w:sz w:val="28"/>
          <w:szCs w:val="36"/>
          <w:lang w:val="ru-RU"/>
        </w:rPr>
        <w:t xml:space="preserve">февраля</w:t>
      </w:r>
      <w:r>
        <w:rPr>
          <w:rFonts w:ascii="Tinos" w:hAnsi="Tinos" w:eastAsia="Tinos" w:cs="Tinos"/>
          <w:sz w:val="28"/>
          <w:szCs w:val="36"/>
        </w:rPr>
        <w:t xml:space="preserve"> 20</w:t>
      </w:r>
      <w:r>
        <w:rPr>
          <w:rFonts w:ascii="Tinos" w:hAnsi="Tinos" w:eastAsia="Tinos" w:cs="Tinos"/>
          <w:sz w:val="28"/>
          <w:szCs w:val="36"/>
          <w:lang w:val="ru-RU"/>
        </w:rPr>
        <w:t xml:space="preserve">2</w:t>
      </w:r>
      <w:r>
        <w:rPr>
          <w:rFonts w:ascii="Tinos" w:hAnsi="Tinos" w:eastAsia="Tinos" w:cs="Tinos"/>
          <w:sz w:val="28"/>
          <w:szCs w:val="36"/>
          <w:lang w:val="ru-RU"/>
        </w:rPr>
        <w:t xml:space="preserve">3</w:t>
      </w:r>
      <w:r>
        <w:rPr>
          <w:rFonts w:ascii="Tinos" w:hAnsi="Tinos" w:eastAsia="Tinos" w:cs="Tinos"/>
          <w:sz w:val="28"/>
          <w:szCs w:val="36"/>
        </w:rPr>
        <w:t xml:space="preserve"> года №</w:t>
      </w:r>
      <w:r>
        <w:rPr>
          <w:rFonts w:ascii="Tinos" w:hAnsi="Tinos" w:eastAsia="Tinos" w:cs="Tinos"/>
          <w:sz w:val="28"/>
          <w:szCs w:val="36"/>
        </w:rPr>
        <w:t xml:space="preserve"> </w:t>
      </w:r>
      <w:r>
        <w:rPr>
          <w:rFonts w:ascii="Tinos" w:hAnsi="Tinos" w:eastAsia="Tinos" w:cs="Tinos"/>
          <w:sz w:val="28"/>
          <w:szCs w:val="36"/>
          <w:lang w:val="ru-RU"/>
        </w:rPr>
        <w:t xml:space="preserve">99-01/</w:t>
      </w:r>
      <w:r>
        <w:rPr>
          <w:rFonts w:ascii="Tinos" w:hAnsi="Tinos" w:eastAsia="Tinos" w:cs="Tinos"/>
          <w:sz w:val="28"/>
          <w:szCs w:val="36"/>
          <w:lang w:val="ru-RU"/>
        </w:rPr>
        <w:t xml:space="preserve">63</w:t>
      </w:r>
      <w:r>
        <w:rPr>
          <w:rFonts w:ascii="Tinos" w:hAnsi="Tinos" w:eastAsia="Tinos" w:cs="Tinos"/>
          <w:sz w:val="28"/>
          <w:szCs w:val="36"/>
        </w:rPr>
        <w:t xml:space="preserve"> «О внесении изменений в </w:t>
      </w:r>
      <w:r>
        <w:rPr>
          <w:rFonts w:ascii="Tinos" w:hAnsi="Tinos" w:eastAsia="Tinos" w:cs="Tinos"/>
          <w:sz w:val="28"/>
          <w:szCs w:val="36"/>
          <w:lang w:val="ru-RU"/>
        </w:rPr>
        <w:t xml:space="preserve">постановление </w:t>
      </w:r>
      <w:r>
        <w:rPr>
          <w:rFonts w:ascii="Tinos" w:hAnsi="Tinos" w:eastAsia="Tinos" w:cs="Tinos"/>
          <w:sz w:val="28"/>
          <w:szCs w:val="36"/>
        </w:rPr>
        <w:t xml:space="preserve">главы администрации района от  </w:t>
      </w:r>
      <w:r>
        <w:rPr>
          <w:rFonts w:ascii="Tinos" w:hAnsi="Tinos" w:eastAsia="Tinos" w:cs="Tinos"/>
          <w:sz w:val="28"/>
          <w:szCs w:val="36"/>
        </w:rPr>
        <w:t xml:space="preserve">03</w:t>
      </w:r>
      <w:r>
        <w:rPr>
          <w:rFonts w:ascii="Tinos" w:hAnsi="Tinos" w:eastAsia="Tinos" w:cs="Tinos"/>
          <w:sz w:val="28"/>
          <w:szCs w:val="36"/>
        </w:rPr>
        <w:t xml:space="preserve"> сентября 2014 года №</w:t>
      </w:r>
      <w:r>
        <w:rPr>
          <w:rFonts w:ascii="Tinos" w:hAnsi="Tinos" w:eastAsia="Tinos" w:cs="Tinos"/>
          <w:sz w:val="28"/>
          <w:szCs w:val="36"/>
        </w:rPr>
        <w:t xml:space="preserve"> </w:t>
      </w:r>
      <w:r>
        <w:rPr>
          <w:rFonts w:ascii="Tinos" w:hAnsi="Tinos" w:eastAsia="Tinos" w:cs="Tinos"/>
          <w:sz w:val="28"/>
          <w:szCs w:val="36"/>
        </w:rPr>
        <w:t xml:space="preserve">3</w:t>
      </w:r>
      <w:r>
        <w:rPr>
          <w:rFonts w:ascii="Tinos" w:hAnsi="Tinos" w:eastAsia="Tinos" w:cs="Tinos"/>
          <w:sz w:val="28"/>
          <w:szCs w:val="36"/>
        </w:rPr>
        <w:t xml:space="preserve">33</w:t>
      </w:r>
      <w:r>
        <w:rPr>
          <w:rFonts w:ascii="Tinos" w:hAnsi="Tinos" w:eastAsia="Tinos" w:cs="Tinos"/>
          <w:sz w:val="28"/>
          <w:szCs w:val="36"/>
        </w:rPr>
        <w:t xml:space="preserve">»</w:t>
      </w:r>
      <w:r>
        <w:rPr>
          <w:rFonts w:ascii="Tinos" w:hAnsi="Tinos" w:cs="Tinos"/>
          <w:sz w:val="36"/>
          <w:szCs w:val="36"/>
        </w:rPr>
      </w:r>
      <w:r>
        <w:rPr>
          <w:rFonts w:ascii="Tinos" w:hAnsi="Tinos" w:cs="Tinos"/>
          <w:sz w:val="36"/>
          <w:szCs w:val="3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2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подпрограмм: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7"/>
        <w:numPr>
          <w:ilvl w:val="0"/>
          <w:numId w:val="1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общественного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1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немедицинского потребления наркотических средств и психотропных веществ.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1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характера, пожарная безопасность и защита населения.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numPr>
          <w:ilvl w:val="0"/>
          <w:numId w:val="1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несовершеннолетними в Волоконовском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1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</w:t>
      </w:r>
      <w:r>
        <w:rPr>
          <w:rFonts w:ascii="Times New Roman" w:hAnsi="Times New Roman" w:cs="Times New Roman"/>
          <w:sz w:val="28"/>
          <w:szCs w:val="28"/>
        </w:rPr>
        <w:t xml:space="preserve">йствие экстремизму и терроризму (реализуется с 2022 года).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год общий бюджет программы составил </w:t>
      </w:r>
      <w:r>
        <w:rPr>
          <w:rFonts w:ascii="Times New Roman" w:hAnsi="Times New Roman"/>
          <w:sz w:val="28"/>
          <w:szCs w:val="28"/>
        </w:rPr>
        <w:t xml:space="preserve">5 843 590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бюджет –</w:t>
      </w:r>
      <w:r>
        <w:rPr>
          <w:rFonts w:ascii="Times New Roman" w:hAnsi="Times New Roman"/>
          <w:color w:val="000000"/>
          <w:sz w:val="28"/>
          <w:szCs w:val="28"/>
        </w:rPr>
        <w:t xml:space="preserve"> 5 843 590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все финансовые средства были направлены на реализацию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2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pacing w:val="-2"/>
          <w:sz w:val="28"/>
          <w:szCs w:val="28"/>
        </w:rPr>
        <w:t xml:space="preserve">еализация мероприятий по созданию, развертыванию, поддержанию в готовности системы «112»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4 258 370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бюджет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4 258 370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 w:firstLine="5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одготовка населения и организаций к действиям в чрезвычайных ситуациях в мирное и военное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1 515 550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бюджет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1 515 550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 w:firstLine="5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реализация мероприятий по противодействию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10 000</w:t>
      </w:r>
      <w:r>
        <w:rPr>
          <w:rFonts w:ascii="Times New Roman" w:hAnsi="Times New Roman"/>
          <w:sz w:val="28"/>
          <w:szCs w:val="28"/>
        </w:rPr>
        <w:t xml:space="preserve"> рублей (муниципальный бюджет </w:t>
      </w:r>
      <w:r>
        <w:rPr>
          <w:rFonts w:ascii="Times New Roman" w:hAnsi="Times New Roman"/>
          <w:sz w:val="28"/>
          <w:szCs w:val="28"/>
        </w:rPr>
        <w:t xml:space="preserve">– 10 000 </w:t>
      </w:r>
      <w:r>
        <w:rPr>
          <w:rFonts w:ascii="Times New Roman" w:hAnsi="Times New Roman"/>
          <w:sz w:val="28"/>
          <w:szCs w:val="28"/>
        </w:rPr>
        <w:t xml:space="preserve">рублей);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 w:firstLine="5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мероприятий по раннему выявлению потребителей наркотиков – </w:t>
      </w:r>
      <w:r>
        <w:rPr>
          <w:rFonts w:ascii="Times New Roman" w:hAnsi="Times New Roman"/>
          <w:sz w:val="28"/>
          <w:szCs w:val="28"/>
        </w:rPr>
        <w:t xml:space="preserve">59 670</w:t>
      </w:r>
      <w:r>
        <w:rPr>
          <w:rFonts w:ascii="Times New Roman" w:hAnsi="Times New Roman"/>
          <w:sz w:val="28"/>
          <w:szCs w:val="28"/>
        </w:rPr>
        <w:t xml:space="preserve"> рублей (муниципальный бюджет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59 670</w:t>
      </w:r>
      <w:r>
        <w:rPr>
          <w:rFonts w:ascii="Times New Roman" w:hAnsi="Times New Roman"/>
          <w:sz w:val="28"/>
          <w:szCs w:val="28"/>
        </w:rPr>
        <w:t xml:space="preserve"> рублей).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 w:firstLine="5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мероприятия подпрограмм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средства не выделялись.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подпрограммы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Укрепление общественного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7"/>
        <w:contextualSpacing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Произошло увеличение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уровня </w:t>
      </w:r>
      <w:r>
        <w:rPr>
          <w:rFonts w:ascii="Times New Roman" w:hAnsi="Times New Roman"/>
          <w:sz w:val="28"/>
          <w:szCs w:val="28"/>
          <w:highlight w:val="white"/>
        </w:rPr>
        <w:t xml:space="preserve">престу</w:t>
      </w:r>
      <w:r>
        <w:rPr>
          <w:rFonts w:ascii="Times New Roman" w:hAnsi="Times New Roman"/>
          <w:sz w:val="28"/>
          <w:szCs w:val="28"/>
          <w:highlight w:val="white"/>
        </w:rPr>
        <w:t xml:space="preserve">пности на 10 000 населения (2022</w:t>
      </w:r>
      <w:r>
        <w:rPr>
          <w:rFonts w:ascii="Times New Roman" w:hAnsi="Times New Roman"/>
          <w:sz w:val="28"/>
          <w:szCs w:val="28"/>
          <w:highlight w:val="white"/>
        </w:rPr>
        <w:t xml:space="preserve"> г. -</w:t>
      </w:r>
      <w:r>
        <w:rPr>
          <w:rFonts w:ascii="Times New Roman" w:hAnsi="Times New Roman"/>
          <w:sz w:val="28"/>
          <w:szCs w:val="28"/>
          <w:highlight w:val="white"/>
        </w:rPr>
        <w:t xml:space="preserve"> 51,2</w:t>
      </w:r>
      <w:r>
        <w:rPr>
          <w:rFonts w:ascii="Times New Roman" w:hAnsi="Times New Roman"/>
          <w:sz w:val="28"/>
          <w:szCs w:val="28"/>
          <w:highlight w:val="white"/>
        </w:rPr>
        <w:t xml:space="preserve">) до </w:t>
      </w:r>
      <w:r>
        <w:rPr>
          <w:rFonts w:ascii="Times New Roman" w:hAnsi="Times New Roman"/>
          <w:sz w:val="28"/>
          <w:szCs w:val="28"/>
          <w:highlight w:val="white"/>
        </w:rPr>
        <w:t xml:space="preserve">89, </w:t>
      </w:r>
      <w:r>
        <w:rPr>
          <w:rFonts w:ascii="Times New Roman" w:hAnsi="Times New Roman"/>
          <w:sz w:val="28"/>
          <w:szCs w:val="28"/>
          <w:highlight w:val="white"/>
        </w:rPr>
        <w:t xml:space="preserve"> это со </w:t>
      </w:r>
      <w:r>
        <w:rPr>
          <w:rFonts w:ascii="Times New Roman" w:hAnsi="Times New Roman"/>
          <w:sz w:val="28"/>
          <w:szCs w:val="28"/>
          <w:highlight w:val="white"/>
        </w:rPr>
        <w:t xml:space="preserve">148</w:t>
      </w:r>
      <w:r>
        <w:rPr>
          <w:rFonts w:ascii="Times New Roman" w:hAnsi="Times New Roman"/>
          <w:sz w:val="28"/>
          <w:szCs w:val="28"/>
          <w:highlight w:val="white"/>
        </w:rPr>
        <w:t xml:space="preserve"> преступлений показатель вырос до </w:t>
      </w:r>
      <w:r>
        <w:rPr>
          <w:rFonts w:ascii="Times New Roman" w:hAnsi="Times New Roman"/>
          <w:sz w:val="28"/>
          <w:szCs w:val="28"/>
          <w:highlight w:val="white"/>
        </w:rPr>
        <w:t xml:space="preserve">257.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7"/>
        <w:contextualSpacing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 xml:space="preserve">Рост</w:t>
      </w:r>
      <w:r>
        <w:rPr>
          <w:rFonts w:ascii="Times New Roman" w:hAnsi="Times New Roman"/>
          <w:sz w:val="28"/>
          <w:szCs w:val="28"/>
          <w:highlight w:val="white"/>
        </w:rPr>
        <w:t xml:space="preserve"> показателя наблюдается в связи </w:t>
      </w:r>
      <w:r>
        <w:rPr>
          <w:rFonts w:ascii="Times New Roman" w:hAnsi="Times New Roman"/>
          <w:sz w:val="28"/>
          <w:szCs w:val="28"/>
          <w:highlight w:val="white"/>
        </w:rPr>
        <w:t xml:space="preserve">с прове</w:t>
      </w:r>
      <w:r>
        <w:rPr>
          <w:rFonts w:ascii="Times New Roman" w:hAnsi="Times New Roman"/>
          <w:sz w:val="28"/>
          <w:szCs w:val="28"/>
          <w:highlight w:val="none"/>
        </w:rPr>
        <w:t xml:space="preserve">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специальной военной операции на Украине (СВО), увеличением количества иностранных граждан, а также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событиями, происходящими в зоне приграничных территорий.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7"/>
        <w:contextualSpacing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Показатели подпрограммы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17"/>
        <w:contextualSpacing/>
        <w:ind w:left="142"/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«Профилактика немедицинского потребления наркотических средств и психотропных веществ»</w: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92"/>
        <w:contextualSpacing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Уменьшилось количество случаев </w:t>
      </w:r>
      <w:r>
        <w:rPr>
          <w:rFonts w:ascii="Tinos" w:hAnsi="Tinos" w:eastAsia="Tinos" w:cs="Tinos"/>
          <w:spacing w:val="-1"/>
          <w:sz w:val="28"/>
          <w:szCs w:val="28"/>
          <w:highlight w:val="white"/>
        </w:rPr>
        <w:t xml:space="preserve">нарко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манией </w:t>
      </w:r>
      <w:r>
        <w:rPr>
          <w:rFonts w:ascii="Tinos" w:hAnsi="Tinos" w:eastAsia="Tinos" w:cs="Tinos"/>
          <w:sz w:val="28"/>
          <w:szCs w:val="25"/>
          <w:highlight w:val="white"/>
        </w:rPr>
        <w:t xml:space="preserve">в расчете на 100 тысяч населения в 2023 году до 135 (АППГ – 160)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уменьшилось число лиц, у </w:t>
      </w:r>
      <w:r>
        <w:rPr>
          <w:rFonts w:ascii="Tinos" w:hAnsi="Tinos" w:eastAsia="Tinos" w:cs="Tinos"/>
          <w:spacing w:val="-2"/>
          <w:sz w:val="28"/>
          <w:szCs w:val="28"/>
          <w:highlight w:val="white"/>
        </w:rPr>
        <w:t xml:space="preserve">которых   впервые </w:t>
      </w:r>
      <w:r>
        <w:rPr>
          <w:rFonts w:ascii="Tinos" w:hAnsi="Tinos" w:eastAsia="Tinos" w:cs="Tinos"/>
          <w:spacing w:val="-1"/>
          <w:sz w:val="28"/>
          <w:szCs w:val="28"/>
          <w:highlight w:val="white"/>
        </w:rPr>
        <w:t xml:space="preserve">в   жизни   устано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влен диагноз «употребление наркотических средств с вредными последствиями» в 2023 г. – 5 человек (АППГ – 6 чел.).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892"/>
        <w:contextualSpacing/>
        <w:ind w:firstLine="708"/>
        <w:jc w:val="both"/>
        <w:spacing w:line="240" w:lineRule="auto"/>
        <w:rPr>
          <w:rFonts w:ascii="Tinos" w:hAnsi="Tinos" w:cs="Tinos"/>
          <w:sz w:val="36"/>
          <w:szCs w:val="36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На профилактическом наблюдении по поводу потребления наркотических средств с вредными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последствиями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– 39 человек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(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АППГ – 46).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36"/>
          <w:szCs w:val="36"/>
          <w:highlight w:val="white"/>
          <w14:ligatures w14:val="none"/>
        </w:rPr>
      </w:r>
    </w:p>
    <w:p>
      <w:pPr>
        <w:pStyle w:val="892"/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ab/>
        <w:t xml:space="preserve">Считаем, что положительное влияние на предполагаемое снижение количества лиц, употребляющих наркотики, особенно из числа молодежи, оказывает тестирование в военкомате, агромеханическом техникуме, школах района, на 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редприятиях с повышенным источником опасности, и усиленная работа сотрудников ОМВД, антинаркотической комиссии Волоконовского района, управления образования, культуры, физической культуры, спорта и молодежной политики, КДН и ЗП и ОГБУЗ «Волоконовская ЦРБ».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подпрограммы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характера, пожарная безопасность и защита населения»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shd w:val="clear" w:color="ffffff" w:fill="ffffff"/>
        <w:rPr>
          <w:rFonts w:ascii="Tinos" w:hAnsi="Tinos" w:eastAsia="Tinos" w:cs="Tino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показателей подпрограммы </w:t>
      </w:r>
      <w:r>
        <w:rPr>
          <w:rFonts w:ascii="Times New Roman" w:hAnsi="Times New Roman"/>
          <w:sz w:val="28"/>
          <w:szCs w:val="28"/>
        </w:rPr>
        <w:t xml:space="preserve">- 2 </w:t>
      </w:r>
      <w:r>
        <w:rPr>
          <w:rFonts w:ascii="Times New Roman" w:hAnsi="Times New Roman"/>
          <w:sz w:val="28"/>
          <w:szCs w:val="28"/>
        </w:rPr>
        <w:t xml:space="preserve"> не достигли запланированного уровня, </w:t>
      </w:r>
      <w:r>
        <w:rPr>
          <w:rFonts w:ascii="Times New Roman" w:hAnsi="Times New Roman"/>
          <w:sz w:val="28"/>
          <w:szCs w:val="28"/>
        </w:rPr>
        <w:t xml:space="preserve">так увеличение </w:t>
      </w:r>
      <w:r>
        <w:rPr>
          <w:rFonts w:ascii="Times New Roman" w:hAnsi="Times New Roman"/>
          <w:sz w:val="28"/>
          <w:szCs w:val="28"/>
        </w:rPr>
        <w:t xml:space="preserve">числа пожаров</w:t>
      </w:r>
      <w:r>
        <w:rPr>
          <w:rFonts w:ascii="Times New Roman" w:hAnsi="Times New Roman"/>
          <w:sz w:val="28"/>
          <w:szCs w:val="28"/>
        </w:rPr>
        <w:t xml:space="preserve"> в 2023 году - 40 (АППГ-30) </w:t>
      </w:r>
      <w:r>
        <w:rPr>
          <w:rFonts w:ascii="Times New Roman" w:hAnsi="Times New Roman"/>
          <w:sz w:val="28"/>
          <w:szCs w:val="28"/>
        </w:rPr>
        <w:t xml:space="preserve">объясняется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несоблюдение правил эксплуатации </w:t>
      </w:r>
      <w:r>
        <w:rPr>
          <w:rFonts w:ascii="Times New Roman" w:hAnsi="Times New Roman"/>
          <w:sz w:val="28"/>
          <w:szCs w:val="28"/>
        </w:rPr>
        <w:t xml:space="preserve">отопительного </w:t>
      </w:r>
      <w:r>
        <w:rPr>
          <w:rFonts w:ascii="Times New Roman" w:hAnsi="Times New Roman"/>
          <w:sz w:val="28"/>
          <w:szCs w:val="28"/>
        </w:rPr>
        <w:t xml:space="preserve">оборудования и электрических устройств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 2 человека погибли из-</w:t>
      </w:r>
      <w:r>
        <w:rPr>
          <w:rFonts w:ascii="Tinos" w:hAnsi="Tinos" w:eastAsia="Tinos" w:cs="Tinos"/>
          <w:sz w:val="28"/>
          <w:szCs w:val="28"/>
        </w:rPr>
        <w:t xml:space="preserve">за неосторожного обращения с огнем в частных домовладениях </w:t>
      </w:r>
      <w:r>
        <w:rPr>
          <w:rFonts w:ascii="Tinos" w:hAnsi="Tinos" w:eastAsia="Tinos" w:cs="Tinos"/>
          <w:sz w:val="28"/>
          <w:szCs w:val="28"/>
        </w:rPr>
        <w:t xml:space="preserve">жилого сектора (АППГ-0).</w:t>
      </w:r>
      <w:r>
        <w:rPr>
          <w:rFonts w:ascii="Tinos" w:hAnsi="Tinos" w:eastAsia="Tinos" w:cs="Tinos"/>
          <w:sz w:val="28"/>
          <w:szCs w:val="28"/>
          <w14:ligatures w14:val="none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оказател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 подпрограммы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и правонарушений несовершенно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летними в Волоконовском районе»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</w:t>
      </w:r>
      <w:r>
        <w:rPr>
          <w:rFonts w:ascii="Times New Roman" w:hAnsi="Times New Roman"/>
          <w:sz w:val="28"/>
          <w:szCs w:val="28"/>
        </w:rPr>
        <w:t xml:space="preserve">чинами</w:t>
      </w:r>
      <w:r>
        <w:rPr>
          <w:rFonts w:ascii="Times New Roman" w:hAnsi="Times New Roman"/>
          <w:sz w:val="28"/>
          <w:szCs w:val="28"/>
        </w:rPr>
        <w:t xml:space="preserve"> постановки на профилактический учет </w:t>
      </w:r>
      <w:r>
        <w:rPr>
          <w:rFonts w:ascii="Times New Roman" w:hAnsi="Times New Roman"/>
          <w:sz w:val="28"/>
          <w:szCs w:val="28"/>
        </w:rPr>
        <w:t xml:space="preserve">несовершеннолетних - </w:t>
      </w:r>
      <w:r>
        <w:rPr>
          <w:rFonts w:ascii="Times New Roman" w:hAnsi="Times New Roman"/>
          <w:sz w:val="28"/>
          <w:szCs w:val="28"/>
        </w:rPr>
        <w:t xml:space="preserve">это совершение противоправных поступков, </w:t>
      </w:r>
      <w:r>
        <w:rPr>
          <w:rFonts w:ascii="Times New Roman" w:hAnsi="Times New Roman"/>
          <w:sz w:val="28"/>
          <w:szCs w:val="28"/>
        </w:rPr>
        <w:t xml:space="preserve">отсутствие взаимопонимания с родителями, равнодушие родителей к времяпровождению и кругу общения ребёнка, не организация занятости и досуга подростков, отсутствие у них интереса к з</w:t>
      </w:r>
      <w:r>
        <w:rPr>
          <w:rFonts w:ascii="Times New Roman" w:hAnsi="Times New Roman"/>
          <w:sz w:val="28"/>
          <w:szCs w:val="28"/>
        </w:rPr>
        <w:t xml:space="preserve">доровому образу жизни и к учебе.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показатели приближены к плановым значениям</w:t>
      </w:r>
      <w:r>
        <w:rPr>
          <w:rFonts w:ascii="Times New Roman" w:hAnsi="Times New Roman"/>
          <w:sz w:val="28"/>
          <w:szCs w:val="28"/>
        </w:rPr>
        <w:t xml:space="preserve">, так п</w:t>
      </w:r>
      <w:r>
        <w:rPr>
          <w:rFonts w:ascii="Times New Roman" w:hAnsi="Times New Roman"/>
          <w:sz w:val="28"/>
          <w:szCs w:val="28"/>
        </w:rPr>
        <w:t xml:space="preserve">о показател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4.1.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«Доля несовершеннолетних, находящихся в конфликте с законом, включ</w:t>
      </w:r>
      <w:r>
        <w:rPr>
          <w:rFonts w:ascii="Times New Roman" w:hAnsi="Times New Roman"/>
          <w:sz w:val="28"/>
          <w:szCs w:val="28"/>
        </w:rPr>
        <w:t xml:space="preserve">енных в систему социализации и </w:t>
      </w:r>
      <w:r>
        <w:rPr>
          <w:rFonts w:ascii="Times New Roman" w:hAnsi="Times New Roman"/>
          <w:sz w:val="28"/>
          <w:szCs w:val="28"/>
        </w:rPr>
        <w:t xml:space="preserve">реабилитации несовершеннолетних» </w:t>
      </w:r>
      <w:r>
        <w:rPr>
          <w:rFonts w:ascii="Times New Roman" w:hAnsi="Times New Roman"/>
          <w:sz w:val="28"/>
          <w:szCs w:val="28"/>
        </w:rPr>
        <w:t xml:space="preserve">достигнут плановый показатель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52%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– «Доля несовершеннолетних, привлеченных к участию в мероприятиях, из числа состоящих на профилактическом учете в органах профилактики»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94%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целях недопущения правонарушений со стороны несовершеннолетни</w:t>
      </w:r>
      <w:r>
        <w:rPr>
          <w:rFonts w:ascii="Times New Roman" w:hAnsi="Times New Roman"/>
          <w:sz w:val="28"/>
          <w:szCs w:val="28"/>
        </w:rPr>
        <w:t xml:space="preserve">х и в отношении них проводится разъяснительная работа с родителями, руководителями учреждений, обеспечивающих организацию занятости и отдыха подростков, за каждым несовершеннолетним, в отношении которого проводится ИПР, закреплены общественные воспитатели.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форм профилактики правонарушений среди несовершеннолетних является их трудоустройство. Временное трудоустройс</w:t>
      </w:r>
      <w:r>
        <w:rPr>
          <w:rFonts w:ascii="Times New Roman" w:hAnsi="Times New Roman"/>
          <w:sz w:val="28"/>
          <w:szCs w:val="28"/>
        </w:rPr>
        <w:t xml:space="preserve">тво несовершеннолетних способствует снижению числа правонарушений среди подростков, а также создает условия для занятости и поддержки доходов детей и их семей из социально незащищенных категорий. Комиссией по делам несовершеннолетних и защите их прав Волок</w:t>
      </w:r>
      <w:r>
        <w:rPr>
          <w:rFonts w:ascii="Times New Roman" w:hAnsi="Times New Roman"/>
          <w:sz w:val="28"/>
          <w:szCs w:val="28"/>
        </w:rPr>
        <w:t xml:space="preserve">оновского района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занятости, отдыха и досуга 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Так, в соответствии с распоряжением главы администрации района от</w:t>
      </w:r>
      <w:r>
        <w:rPr>
          <w:rFonts w:ascii="Times New Roman" w:hAnsi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8 февраля 202</w:t>
      </w:r>
      <w:r>
        <w:rPr>
          <w:rFonts w:ascii="Times New Roman" w:hAnsi="Times New Roman"/>
          <w:sz w:val="28"/>
          <w:szCs w:val="28"/>
          <w:highlight w:val="white"/>
        </w:rPr>
        <w:t xml:space="preserve">3 года № 99-01/</w:t>
      </w:r>
      <w:r>
        <w:rPr>
          <w:rFonts w:ascii="Times New Roman" w:hAnsi="Times New Roman"/>
          <w:sz w:val="28"/>
          <w:szCs w:val="28"/>
          <w:highlight w:val="white"/>
        </w:rPr>
        <w:t xml:space="preserve">103, планировалось трудоустроить </w:t>
      </w:r>
      <w:r>
        <w:rPr>
          <w:rFonts w:ascii="Times New Roman" w:hAnsi="Times New Roman"/>
          <w:sz w:val="28"/>
          <w:szCs w:val="28"/>
          <w:highlight w:val="white"/>
        </w:rPr>
        <w:t xml:space="preserve">899</w:t>
      </w:r>
      <w:r>
        <w:rPr>
          <w:rFonts w:ascii="Times New Roman" w:hAnsi="Times New Roman"/>
          <w:sz w:val="28"/>
          <w:szCs w:val="28"/>
          <w:highlight w:val="white"/>
        </w:rPr>
        <w:t xml:space="preserve"> человек, по факту все</w:t>
      </w:r>
      <w:r>
        <w:rPr>
          <w:rFonts w:ascii="Times New Roman" w:hAnsi="Times New Roman"/>
          <w:sz w:val="28"/>
          <w:szCs w:val="28"/>
          <w:highlight w:val="white"/>
        </w:rPr>
        <w:t xml:space="preserve"> несовершеннолетние трудоустроены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подпрограммы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contextualSpacing/>
        <w:ind w:left="14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экстремизму и терроризму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сферу деятельности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 входит 8</w:t>
      </w:r>
      <w:r>
        <w:rPr>
          <w:rFonts w:ascii="Times New Roman" w:hAnsi="Times New Roman"/>
          <w:sz w:val="28"/>
          <w:szCs w:val="28"/>
        </w:rPr>
        <w:t xml:space="preserve">9 объектов террорис</w:t>
      </w:r>
      <w:r>
        <w:rPr>
          <w:rFonts w:ascii="Times New Roman" w:hAnsi="Times New Roman"/>
          <w:sz w:val="28"/>
          <w:szCs w:val="28"/>
        </w:rPr>
        <w:t xml:space="preserve">тических посягательств. Их них </w:t>
      </w:r>
      <w:r>
        <w:rPr>
          <w:rFonts w:ascii="Times New Roman" w:hAnsi="Times New Roman"/>
          <w:sz w:val="28"/>
          <w:szCs w:val="28"/>
        </w:rPr>
        <w:t xml:space="preserve">прокатегорировано и паспортизировано </w:t>
      </w:r>
      <w:r>
        <w:rPr>
          <w:rFonts w:ascii="Times New Roman" w:hAnsi="Times New Roman"/>
          <w:sz w:val="28"/>
          <w:szCs w:val="28"/>
        </w:rPr>
        <w:t xml:space="preserve">75</w:t>
      </w:r>
      <w:r>
        <w:rPr>
          <w:rFonts w:ascii="Times New Roman" w:hAnsi="Times New Roman"/>
          <w:sz w:val="28"/>
          <w:szCs w:val="28"/>
        </w:rPr>
        <w:t xml:space="preserve">, что соответствует запланированным показателям.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анализа мероприятий, реализуемых в рамках муниципальной</w:t>
      </w:r>
      <w:r>
        <w:rPr>
          <w:rFonts w:ascii="Times New Roman" w:hAnsi="Times New Roman"/>
          <w:sz w:val="28"/>
          <w:szCs w:val="28"/>
        </w:rPr>
        <w:t xml:space="preserve"> программы, </w:t>
      </w:r>
      <w:r>
        <w:rPr>
          <w:rFonts w:ascii="Times New Roman" w:hAnsi="Times New Roman"/>
          <w:sz w:val="28"/>
          <w:szCs w:val="28"/>
        </w:rPr>
        <w:t xml:space="preserve">определены мероприятия по минимизации следующих видов рисков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минимизации ф</w:t>
      </w:r>
      <w:r>
        <w:rPr>
          <w:rFonts w:ascii="Times New Roman" w:hAnsi="Times New Roman"/>
          <w:sz w:val="28"/>
          <w:szCs w:val="28"/>
        </w:rPr>
        <w:t xml:space="preserve">инансовы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 xml:space="preserve">ов проводятся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приоритетов для первоочередного финансирования расходов;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планирование бюджетных расходов с применением методик оценки эффективности бюджетных расходов.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Для минимизации воздействия </w:t>
      </w:r>
      <w:r>
        <w:rPr>
          <w:rFonts w:ascii="Times New Roman" w:hAnsi="Times New Roman"/>
          <w:sz w:val="28"/>
          <w:szCs w:val="28"/>
        </w:rPr>
        <w:t xml:space="preserve">правовых</w:t>
      </w:r>
      <w:r>
        <w:rPr>
          <w:rFonts w:ascii="Times New Roman" w:hAnsi="Times New Roman"/>
          <w:sz w:val="28"/>
          <w:szCs w:val="28"/>
        </w:rPr>
        <w:t xml:space="preserve"> рисков в рамках реализации муниципальной программы н</w:t>
      </w:r>
      <w:r>
        <w:rPr>
          <w:rFonts w:ascii="Times New Roman" w:hAnsi="Times New Roman"/>
          <w:sz w:val="28"/>
          <w:szCs w:val="28"/>
        </w:rPr>
        <w:t xml:space="preserve">а этапе разработки проектов документов привлекаются к их обсуждению основные заинтересованные стороны, которые впоследствии принимают участие в их согласовании, а также проводится мониторинг планируемых изменений в федеральном и областном законодательстве.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минимизации воздействия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нформационны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проводится работа, направленная на: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и оценку исполнения целевых показателей муниципальной программы, выявление факторов риска, оценку их значимости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сновными условиями минимизации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дминистративны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эффективной системы управления реализацией муниципальной программы и ее подпрограмм;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эффективности взаимодействия участников реализации муниципальной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системы мониторинга реализации муниципальной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своевременная корректировка мероприятий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rPr>
          <w:b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709" w:right="851" w:bottom="1134" w:left="1418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1. Общие сведения о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5223" w:type="pct"/>
        <w:tblInd w:w="-6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80"/>
        <w:gridCol w:w="1730"/>
        <w:gridCol w:w="1843"/>
        <w:gridCol w:w="1276"/>
        <w:gridCol w:w="829"/>
        <w:gridCol w:w="1011"/>
        <w:gridCol w:w="867"/>
        <w:gridCol w:w="866"/>
        <w:gridCol w:w="867"/>
        <w:gridCol w:w="1156"/>
        <w:gridCol w:w="1156"/>
        <w:gridCol w:w="1156"/>
        <w:gridCol w:w="1164"/>
        <w:gridCol w:w="1140"/>
      </w:tblGrid>
      <w:tr>
        <w:trPr>
          <w:trHeight w:val="846"/>
        </w:trPr>
        <w:tc>
          <w:tcP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программы, подпрограммы, основного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соисполнитель, участник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татус мероприя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8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Плановый срок реализации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73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Фактический срок реализации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317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реализацию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346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Контракты на поставку товаров, выполнение работ, оказание услуг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ind w:left="-39" w:right="-149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начала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окончания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ind w:left="-39" w:right="-149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начала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окончания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ind w:left="-46" w:right="-50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ind w:left="-148" w:right="-131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 к плану,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ind w:left="-56" w:right="-7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заключено,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pStyle w:val="892"/>
              <w:ind w:right="-47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оплачено,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отклонение, %,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7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0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ind w:firstLine="62"/>
              <w:jc w:val="center"/>
              <w:spacing w:line="278" w:lineRule="exact"/>
              <w:shd w:val="clear" w:color="auto" w:fill="ff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безопасности жизнедеятельности населения Волоконовского района»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5843,6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12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spacing w:val="-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«</w:t>
            </w:r>
            <w:r>
              <w:rPr>
                <w:rFonts w:ascii="Times New Roman" w:hAnsi="Times New Roman"/>
                <w:sz w:val="20"/>
              </w:rPr>
              <w:t xml:space="preserve">Укрепление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общественного порядка</w:t>
            </w:r>
            <w:r>
              <w:rPr>
                <w:spacing w:val="-1"/>
                <w:sz w:val="20"/>
              </w:rPr>
              <w:t xml:space="preserve">»</w:t>
            </w:r>
            <w:r>
              <w:rPr>
                <w:spacing w:val="-1"/>
                <w:sz w:val="20"/>
              </w:rPr>
            </w:r>
            <w:r>
              <w:rPr>
                <w:spacing w:val="-1"/>
                <w:sz w:val="20"/>
              </w:rPr>
            </w:r>
          </w:p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</w:r>
            <w:r>
              <w:rPr>
                <w:spacing w:val="-1"/>
                <w:sz w:val="20"/>
              </w:rPr>
            </w:r>
            <w:r>
              <w:rPr>
                <w:spacing w:val="-1"/>
                <w:sz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вопорядка в общественных местах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 «Профилактика терроризма и экстремизма»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еализован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«Обеспечение деятельности (оказание услуг) муниципальных учреждений (организаций) Волоконовского района».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Планируется к реализации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 «Профилактика       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немедицинског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   потребления наркотических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средств   и психотропных веществ»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99,45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 «Мероприятия      по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раннему            выявлению потребителей наркотиков»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99,45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rPr>
                <w:rFonts w:ascii="Times New Roman" w:hAnsi="Times New Roman" w:eastAsia="Calibri"/>
                <w:sz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lang w:eastAsia="en-US"/>
              </w:rPr>
              <w:t xml:space="preserve">Основное мероприятии 2.2 «Реализация мероприятий по осуществлению антинаркотической пропаганды и антинаркотического просвещения»</w:t>
            </w:r>
            <w:r>
              <w:rPr>
                <w:rFonts w:ascii="Times New Roman" w:hAnsi="Times New Roman" w:eastAsia="Calibri"/>
                <w:sz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rPr>
                <w:rFonts w:ascii="Times New Roman" w:hAnsi="Times New Roman" w:eastAsia="Calibri"/>
                <w:sz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lang w:eastAsia="en-US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 w:eastAsia="Calibri"/>
                <w:sz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lang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Планируется к реализации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3 «Снижение рисков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смягчение последствий           чрезвычайных ситуаций         природного  и техногенного                характера, пожарная безопасность и защита населения»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5773,91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3.1 «Реализация мероприятий по созданию, развертыванию, поддержанию в готовности системы «112»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4258,37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населения к действиям в ЧС в мирное и военное время»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1515,55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«Профилактика              безнадзорности      и      правонарушений            несовершеннолетних»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4.1 «Создание условий для занятости и трудоустройства несовершеннолетних, в том числе, находящихся в трудной жизненной ситуации»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05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«Противодействие терроризму и 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кстремизму»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3"/>
        </w:trPr>
        <w:tc>
          <w:tcPr>
            <w:tcW w:w="68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«Профилактика терроризма и экстремизма»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«Профилактика терроризма и экстремизма»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2. Сведения о достижении значений целевых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показателей программы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5097" w:type="pct"/>
        <w:jc w:val="center"/>
        <w:tblInd w:w="-7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8"/>
        <w:gridCol w:w="4244"/>
        <w:gridCol w:w="8"/>
        <w:gridCol w:w="1269"/>
        <w:gridCol w:w="7"/>
        <w:gridCol w:w="844"/>
        <w:gridCol w:w="7"/>
        <w:gridCol w:w="45"/>
        <w:gridCol w:w="1467"/>
        <w:gridCol w:w="40"/>
        <w:gridCol w:w="7"/>
        <w:gridCol w:w="1386"/>
        <w:gridCol w:w="28"/>
        <w:gridCol w:w="1407"/>
        <w:gridCol w:w="13"/>
        <w:gridCol w:w="1418"/>
        <w:gridCol w:w="22"/>
        <w:gridCol w:w="2611"/>
      </w:tblGrid>
      <w:tr>
        <w:trPr>
          <w:trHeight w:val="477"/>
        </w:trPr>
        <w:tc>
          <w:tcPr>
            <w:tcW w:w="538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целевого показателя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целевого показателя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9"/>
            <w:tcW w:w="578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Значение целевого показателя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отклонения значения показателя на конец отчетного периода (при наличии)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24"/>
        </w:trPr>
        <w:tc>
          <w:tcPr>
            <w:tcW w:w="538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Базовый период (факт)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8"/>
            <w:tcW w:w="432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Отчетный период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W w:w="538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 к плану,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gridSpan w:val="18"/>
            <w:tcW w:w="1536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«Обеспечение безопасности жизнедеятельности населения Волокон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внедренных локальных систем видеонаблюдения АПК «Безопасный город»,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155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2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2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633" w:type="dxa"/>
            <w:vAlign w:val="center"/>
            <w:textDirection w:val="lrTb"/>
            <w:noWrap w:val="false"/>
          </w:tcPr>
          <w:p>
            <w:pPr>
              <w:pStyle w:val="892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территории района работает 33 камеры, с учетом их модернизации и поддержания работоспособности, нет возможности установки новых.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252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Распространенность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немедицинского потребления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котиков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(случаев на 100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населения)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155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1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2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63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252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погибших людей при пожарах, 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155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1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2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6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6"/>
                <w:szCs w:val="6"/>
              </w:rPr>
            </w:pPr>
            <w:r>
              <w:rPr>
                <w:sz w:val="14"/>
                <w:szCs w:val="14"/>
              </w:rPr>
            </w:r>
            <w:r>
              <w:rPr>
                <w:rFonts w:ascii="Tinos" w:hAnsi="Tinos" w:eastAsia="Tinos" w:cs="Tinos"/>
                <w:sz w:val="18"/>
                <w:szCs w:val="18"/>
              </w:rPr>
              <w:t xml:space="preserve">Связано с </w:t>
            </w:r>
            <w:r>
              <w:rPr>
                <w:rFonts w:ascii="Tinos" w:hAnsi="Tinos" w:eastAsia="Tinos" w:cs="Tinos"/>
                <w:sz w:val="18"/>
                <w:szCs w:val="18"/>
              </w:rPr>
              <w:t xml:space="preserve">неосторожным обращением с огнем в частных домовладениях </w:t>
            </w:r>
            <w:r>
              <w:rPr>
                <w:rFonts w:ascii="Tinos" w:hAnsi="Tinos" w:eastAsia="Tinos" w:cs="Tinos"/>
                <w:sz w:val="18"/>
                <w:szCs w:val="18"/>
              </w:rPr>
              <w:t xml:space="preserve">жилого сектора </w:t>
            </w:r>
            <w:r>
              <w:rPr>
                <w:rFonts w:ascii="Tinos" w:hAnsi="Tinos" w:eastAsia="Tinos" w:cs="Tinos"/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252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подростков, снятых с профилактического учета по положительным основаниям, процен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155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1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2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115,9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63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252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объектов образования физической охраной,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155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1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2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63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gridSpan w:val="18"/>
            <w:tcW w:w="1536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«Укрепление общественного порядка»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едренных локальных систем видео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наблюдени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АПК «Безопасный город»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мероприятия подпрограммы 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едренных локальных систем видео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наблюдени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АПК «Безопасный город»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top"/>
            <w:textDirection w:val="lrTb"/>
            <w:noWrap w:val="false"/>
          </w:tcPr>
          <w:p>
            <w:pPr>
              <w:pStyle w:val="8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преступлений, на 10 тыс. населения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178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Наблюдается в связи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с прове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дением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специальной военной операции на Украине (СВО), увеличением количества иностранных граждан, а также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  <w:shd w:val="clear" w:color="auto" w:fill="ffffff"/>
              </w:rPr>
              <w:t xml:space="preserve">событиями, происходящими в зоне приграничных территорий.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</w:tr>
      <w:tr>
        <w:trPr>
          <w:trHeight w:val="255"/>
        </w:trPr>
        <w:tc>
          <w:tcPr>
            <w:gridSpan w:val="18"/>
            <w:tcW w:w="1536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 «Профилактика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емедицинского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ребления наркотических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психотропных веществ»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Распространенность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немедицинского потребления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наркотиков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(случаев на 100 тыс. населения)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мероприятия подпрограммы 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Первичная заболеваемость, употребление наркотических средств вредными последствиями (случаев   на 100 тыс. населения)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Распространенность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немедицинского потребления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наркотиков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(случаев на 100 тыс. населения)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gridSpan w:val="18"/>
            <w:tcW w:w="1536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Снижение рисков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смягчение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последствий чрезвычайных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ситуаций природного и техногенного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характера, пожарная безопасность и защита населения</w:t>
            </w:r>
            <w: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погибших людей при пожарах, 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мероприятия подпрограммы 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погибших людей при пожарах, 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79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пожаров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Объясняется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несоблюдением правил эксплуатации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отопительного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оборудования и электрических устройств</w:t>
            </w:r>
            <w:r>
              <w:rPr>
                <w:rFonts w:ascii="Tinos" w:hAnsi="Tinos" w:eastAsia="Tinos" w:cs="Tinos"/>
                <w:sz w:val="18"/>
                <w:szCs w:val="18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55"/>
        </w:trPr>
        <w:tc>
          <w:tcPr>
            <w:gridSpan w:val="18"/>
            <w:tcW w:w="1536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без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надзорности и право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нарушений несовершеннолетних</w:t>
            </w:r>
            <w: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подростков, снятых с профилактического учета по положительным основаниям, процент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мероприятия подпрограммы 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несовершеннолетними или при их участии,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подростков, снятых с профилактического учета по положительным основаниям, процент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55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летних, находящихся в конфликте с законом, включенных в систему социализации и реабилитации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летних (трудоустройство, отдых, психологическая помощь), проценты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92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несовершеннолетних, привлеченных к участию в мероприятиях, из числа состоящих на профилактическом учете в органах профилактики, процент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104,4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«Противодействие терроризму и экстремизму»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паспортов безопасности на объектах террористических посягательств,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2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7"/>
            <w:tcW w:w="14823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объектов образования физической охраной,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53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4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паспортов безопасности на объектах террористических посягательств, 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Прогрессирующий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90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3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4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45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3. Свед</w:t>
      </w:r>
      <w:r>
        <w:rPr>
          <w:rFonts w:ascii="Times New Roman" w:hAnsi="Times New Roman"/>
          <w:b/>
          <w:bCs/>
          <w:sz w:val="28"/>
          <w:szCs w:val="28"/>
        </w:rPr>
        <w:t xml:space="preserve">ения об использовании бюджетны</w:t>
      </w:r>
      <w:r>
        <w:rPr>
          <w:rFonts w:ascii="Times New Roman" w:hAnsi="Times New Roman"/>
          <w:b/>
          <w:bCs/>
          <w:sz w:val="28"/>
          <w:szCs w:val="28"/>
        </w:rPr>
        <w:t xml:space="preserve">х ассигнований местного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 реализацию программы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tbl>
      <w:tblPr>
        <w:tblW w:w="5271" w:type="pct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35"/>
        <w:gridCol w:w="2334"/>
        <w:gridCol w:w="2268"/>
        <w:gridCol w:w="850"/>
        <w:gridCol w:w="851"/>
        <w:gridCol w:w="850"/>
        <w:gridCol w:w="993"/>
        <w:gridCol w:w="1701"/>
        <w:gridCol w:w="1275"/>
        <w:gridCol w:w="1418"/>
        <w:gridCol w:w="1276"/>
        <w:gridCol w:w="1335"/>
      </w:tblGrid>
      <w:tr>
        <w:trPr>
          <w:trHeight w:val="486"/>
        </w:trPr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программы, подпрограммы, основного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соисполнители, участники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354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tcW w:w="700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муниципального бюджета на реализацию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663"/>
        </w:trPr>
        <w:tc>
          <w:tcPr>
            <w:tcW w:w="735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ГРБС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Рз /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бюджетные ассигнования (план),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кассовый план,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кассовый расход, тыс. рублей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 к плану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отклонение от кассового плана,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89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ind w:firstLine="62"/>
              <w:jc w:val="center"/>
              <w:spacing w:line="278" w:lineRule="exact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жизнедеятельности населения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5843,6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spacing w:val="-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Подпрограмма 1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Укрепление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общественного порядка</w:t>
            </w:r>
            <w:r>
              <w:rPr>
                <w:spacing w:val="-1"/>
              </w:rPr>
              <w:t xml:space="preserve">»</w:t>
            </w:r>
            <w:r>
              <w:rPr>
                <w:spacing w:val="-1"/>
              </w:rPr>
            </w:r>
            <w:r>
              <w:rPr>
                <w:spacing w:val="-1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spacing w:val="-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правопорядка 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общественных местах</w:t>
            </w:r>
            <w:r>
              <w:rPr>
                <w:spacing w:val="-1"/>
              </w:rPr>
              <w:t xml:space="preserve">»</w:t>
            </w:r>
            <w:r>
              <w:rPr>
                <w:spacing w:val="-1"/>
              </w:rPr>
            </w:r>
            <w:r>
              <w:rPr>
                <w:spacing w:val="-1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shd w:val="clear" w:color="auto" w:fill="ffffff"/>
              <w:rPr>
                <w:spacing w:val="-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терроризма и экстремизма</w:t>
            </w:r>
            <w:r>
              <w:rPr>
                <w:spacing w:val="-1"/>
              </w:rPr>
              <w:t xml:space="preserve">»</w:t>
            </w:r>
            <w:r>
              <w:rPr>
                <w:spacing w:val="-1"/>
              </w:rPr>
            </w:r>
            <w:r>
              <w:rPr>
                <w:spacing w:val="-1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«Обеспечение деятельности (оказание услуг) муниципальных учреждений (организаций) Волоконовского района».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 «Профилактика       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немедицинского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отребления наркотических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средств   и психотропных веществ»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 «Мероприятия      по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раннему            выявлению потребителей наркотиков»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eastAsia="Calibri"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lang w:eastAsia="en-US"/>
              </w:rPr>
              <w:t xml:space="preserve">Основное мероприятии 2.2</w:t>
            </w:r>
            <w:r>
              <w:rPr>
                <w:rFonts w:ascii="Times New Roman" w:hAnsi="Times New Roman" w:eastAsia="Calibri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0"/>
                <w:lang w:eastAsia="en-US"/>
              </w:rPr>
              <w:t xml:space="preserve">«Реализация мероприятий по осуществлению антинаркотической пропаганды и антинаркотического просвещения»</w:t>
            </w:r>
            <w:r>
              <w:rPr>
                <w:rFonts w:ascii="Times New Roman" w:hAnsi="Times New Roman" w:eastAsia="Calibri"/>
                <w:sz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Волоконовского района</w:t>
            </w:r>
            <w:r>
              <w:rPr>
                <w:rFonts w:ascii="Times New Roman" w:hAnsi="Times New Roman" w:eastAsia="Calibri"/>
                <w:sz w:val="20"/>
              </w:rPr>
              <w:t xml:space="preserve">, всего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850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X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X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X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30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54" w:lineRule="exact"/>
              <w:shd w:val="clear" w:color="auto" w:fill="ffffff"/>
              <w:rPr>
                <w:spacing w:val="-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Подпрограмма3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рисков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смягчение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последствий           чрезвычайных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ситуаций         природного         и техногенного                характера, пожарная безопасность и защита населения</w:t>
            </w:r>
            <w:r>
              <w:t xml:space="preserve">»</w:t>
            </w:r>
            <w:r>
              <w:rPr>
                <w:spacing w:val="-1"/>
              </w:rPr>
            </w:r>
            <w:r>
              <w:rPr>
                <w:spacing w:val="-1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5773,91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.3.1.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3.1 </w:t>
            </w: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мероприятий по созданию,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развертыванию, поддержанию в готовности системы «112</w:t>
            </w:r>
            <w: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4258,37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3.2 «Подготовка населения к действиям в ЧС в мирное и военное время»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1515,55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«Профилактика              безнадзорности      и      правонарушений            несовершеннолетних»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4.1 «Создание условий для занятости и трудоустройства несовершеннолетних, в том числе, находящихся в трудной жизненной ситуации»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9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Подпрограмма 5 «Противодействие экстремизму и терроризму»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муниципального района «Волоконовский район»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735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Основное мероприятие 5.1 «Профилактика терроризма и экстремизма»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widowControl w:val="off"/>
            </w:pPr>
            <w:r>
              <w:rPr>
                <w:rFonts w:ascii="Times New Roman" w:hAnsi="Times New Roman"/>
                <w:sz w:val="20"/>
              </w:rPr>
              <w:t xml:space="preserve">Администрация муниципального района «Волоконовский район»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850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X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ind w:left="57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</w:rPr>
            </w:pP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  <w:r>
              <w:rPr>
                <w:rFonts w:ascii="Times New Roman" w:hAnsi="Times New Roman" w:eastAsia="MingLiU"/>
                <w:sz w:val="20"/>
                <w:szCs w:val="20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  <w:p>
            <w:pPr>
              <w:pStyle w:val="892"/>
              <w:jc w:val="center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 w:eastAsia="MingLiU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MingLiU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33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ff0000"/>
          <w:sz w:val="20"/>
          <w:szCs w:val="20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Форма 4. Сведения о ресурсном обеспечении программы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5066" w:type="pct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36"/>
        <w:gridCol w:w="3987"/>
        <w:gridCol w:w="3697"/>
        <w:gridCol w:w="1212"/>
        <w:gridCol w:w="1180"/>
        <w:gridCol w:w="1251"/>
        <w:gridCol w:w="1180"/>
        <w:gridCol w:w="2125"/>
      </w:tblGrid>
      <w:tr>
        <w:trPr>
          <w:trHeight w:val="585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программы, подпрограммы, основного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 ресурсного обеспечения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39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3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Кассовый расход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 к плану,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Сумма, 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вес,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вес, %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636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392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43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ind w:firstLine="62"/>
              <w:jc w:val="both"/>
              <w:spacing w:line="278" w:lineRule="exact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Муниципальная программа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жизнедеятельности населения Волоконовского района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5265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5843,6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8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5843,6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Укрепление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общественного порядка</w:t>
            </w:r>
            <w:r>
              <w:rPr>
                <w:spacing w:val="-1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правопорядка в общественных местах</w:t>
            </w:r>
            <w: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актика терроризма и экстремизма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консолидированные бюджеты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5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«Обеспечение деятельности (оказание услуг) муниципальных учреждений (организаций) Волоконовского района».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консолидированные бюджеты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«Профилактика           немедицинского    потребления наркотических средств   и психотропных веществ»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консолидированные бюджеты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раннему            выявлению потребителей наркотиков»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консолидированные бюджеты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осуществлению антинаркотической пропаганды и антинаркотического просвещения»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«Снижение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смягчение последствий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ситуаций         природного и техногенного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характера, пожарная безопасность и защита населения»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5773,91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5773,91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мероприятий по созданию,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развертыванию, поддержанию в готовности системы «112</w:t>
            </w:r>
            <w: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4258,37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4258,37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населения к действиям в ЧС в мирное и военно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время»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1515,55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1515,55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5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«Профилактика              безнадзорности      и      правонарушений            несовершеннолетних»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2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«Создание условий для занятости и трудоустройства несовершеннолетних, в том числе, находящихся в трудной жизненной ситуации»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«Противодействие экстремизму и терроризму»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«Профилактика терроризма и экстремизма»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консолидированный бюджет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top"/>
            <w:textDirection w:val="lrTb"/>
            <w:noWrap/>
          </w:tcPr>
          <w:p>
            <w:pPr>
              <w:pStyle w:val="892"/>
              <w:jc w:val="lef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территориальные внебюджетные фонды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8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tabs>
                <w:tab w:val="left" w:pos="1020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97" w:type="dxa"/>
            <w:vAlign w:val="center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источники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vAlign w:val="top"/>
            <w:textDirection w:val="lrTb"/>
            <w:noWrap/>
          </w:tcPr>
          <w:p>
            <w:pPr>
              <w:pStyle w:val="892"/>
              <w:jc w:val="center"/>
              <w:spacing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5. Сведения о мерах правового регулирования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4"/>
        <w:gridCol w:w="5539"/>
        <w:gridCol w:w="2601"/>
        <w:gridCol w:w="1589"/>
        <w:gridCol w:w="1589"/>
        <w:gridCol w:w="1589"/>
        <w:gridCol w:w="1668"/>
      </w:tblGrid>
      <w:tr>
        <w:trPr>
          <w:trHeight w:val="833"/>
        </w:trPr>
        <w:tc>
          <w:tcPr>
            <w:tcW w:w="494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539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Вид, наименование нормативного правового акта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01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исполнитель, соисполнитель, участник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178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принятия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25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941"/>
        </w:trPr>
        <w:tc>
          <w:tcPr>
            <w:tcW w:w="494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539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01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66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причины невыполнения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494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539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center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68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W w:w="494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539" w:type="dxa"/>
            <w:vAlign w:val="top"/>
            <w:textDirection w:val="lrTb"/>
            <w:noWrap w:val="false"/>
          </w:tcPr>
          <w:p>
            <w:pPr>
              <w:pStyle w:val="892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района от 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99-01/63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 внесении изменений в постановление главы администрации Волоконовского района от 3 сентября 2014 года № 333»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601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top"/>
            <w:textDirection w:val="lrTb"/>
            <w:noWrap/>
          </w:tcPr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квартал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срок.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89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70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409020205020404"/>
  </w:font>
  <w:font w:name="MingLiU">
    <w:panose1 w:val="02000506000000020000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round" w:vAnchor="text" w:hAnchor="margin" w:xAlign="center" w:y="1"/>
    </w:pPr>
    <w:r>
      <w:rPr>
        <w:rStyle w:val="901"/>
      </w:rPr>
    </w:r>
    <w:r>
      <w:rPr>
        <w:rStyle w:val="901"/>
      </w:rPr>
    </w:r>
    <w:r>
      <w:rPr>
        <w:rStyle w:val="901"/>
      </w:rPr>
    </w:r>
  </w:p>
  <w:p>
    <w:pPr>
      <w:pStyle w:val="899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93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5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5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5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5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5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5" w:hanging="360"/>
      </w:pPr>
      <w:rPr>
        <w:rFonts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928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74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4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4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4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4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4" w:hanging="360"/>
      </w:pPr>
      <w:rPr>
        <w:rFonts w:ascii="Wingdings" w:hAnsi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93">
    <w:name w:val="Заголовок 1"/>
    <w:basedOn w:val="892"/>
    <w:next w:val="892"/>
    <w:link w:val="905"/>
    <w:uiPriority w:val="99"/>
    <w:qFormat/>
    <w:pPr>
      <w:numPr>
        <w:ilvl w:val="0"/>
        <w:numId w:val="3"/>
      </w:numPr>
      <w:jc w:val="center"/>
      <w:spacing w:before="200" w:line="240" w:lineRule="auto"/>
      <w:tabs>
        <w:tab w:val="left" w:pos="284" w:leader="none"/>
      </w:tabs>
      <w:outlineLvl w:val="0"/>
    </w:pPr>
    <w:rPr>
      <w:rFonts w:eastAsia="Calibri"/>
      <w:sz w:val="24"/>
      <w:szCs w:val="24"/>
      <w:lang w:val="en-US" w:eastAsia="en-US"/>
    </w:rPr>
  </w:style>
  <w:style w:type="paragraph" w:styleId="894">
    <w:name w:val="Заголовок 2"/>
    <w:basedOn w:val="892"/>
    <w:next w:val="892"/>
    <w:link w:val="921"/>
    <w:uiPriority w:val="9"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95">
    <w:name w:val="Основной шрифт абзаца"/>
    <w:next w:val="895"/>
    <w:link w:val="892"/>
    <w:uiPriority w:val="1"/>
    <w:unhideWhenUsed/>
  </w:style>
  <w:style w:type="table" w:styleId="896">
    <w:name w:val="Обычная таблица"/>
    <w:next w:val="896"/>
    <w:link w:val="892"/>
    <w:uiPriority w:val="99"/>
    <w:semiHidden/>
    <w:unhideWhenUsed/>
    <w:tblPr/>
  </w:style>
  <w:style w:type="numbering" w:styleId="897">
    <w:name w:val="Нет списка"/>
    <w:next w:val="897"/>
    <w:link w:val="892"/>
    <w:uiPriority w:val="99"/>
    <w:semiHidden/>
    <w:unhideWhenUsed/>
  </w:style>
  <w:style w:type="paragraph" w:styleId="898">
    <w:name w:val="ConsPlusNonformat"/>
    <w:next w:val="898"/>
    <w:link w:val="89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9">
    <w:name w:val="Верхний колонтитул"/>
    <w:basedOn w:val="892"/>
    <w:next w:val="899"/>
    <w:link w:val="900"/>
    <w:uiPriority w:val="99"/>
    <w:pPr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900">
    <w:name w:val="Верхний колонтитул Знак"/>
    <w:next w:val="900"/>
    <w:link w:val="899"/>
    <w:uiPriority w:val="99"/>
    <w:rPr>
      <w:rFonts w:ascii="Calibri" w:hAnsi="Calibri" w:eastAsia="Calibri" w:cs="Calibri"/>
      <w:lang w:eastAsia="en-US"/>
    </w:rPr>
  </w:style>
  <w:style w:type="character" w:styleId="901">
    <w:name w:val="Номер страницы"/>
    <w:next w:val="901"/>
    <w:link w:val="892"/>
    <w:uiPriority w:val="99"/>
    <w:rPr>
      <w:rFonts w:cs="Times New Roman"/>
    </w:rPr>
  </w:style>
  <w:style w:type="paragraph" w:styleId="902">
    <w:name w:val="Нижний колонтитул"/>
    <w:basedOn w:val="892"/>
    <w:next w:val="902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>
    <w:name w:val="Нижний колонтитул Знак"/>
    <w:basedOn w:val="895"/>
    <w:next w:val="903"/>
    <w:link w:val="902"/>
    <w:uiPriority w:val="99"/>
  </w:style>
  <w:style w:type="paragraph" w:styleId="904">
    <w:name w:val="ConsPlusNormal"/>
    <w:next w:val="904"/>
    <w:link w:val="892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5">
    <w:name w:val="Заголовок 1 Знак"/>
    <w:next w:val="905"/>
    <w:link w:val="893"/>
    <w:uiPriority w:val="99"/>
    <w:rPr>
      <w:rFonts w:ascii="Calibri" w:hAnsi="Calibri" w:eastAsia="Calibri" w:cs="Times New Roman"/>
      <w:sz w:val="24"/>
      <w:szCs w:val="24"/>
      <w:lang w:eastAsia="en-US"/>
    </w:rPr>
  </w:style>
  <w:style w:type="paragraph" w:styleId="906">
    <w:name w:val="Абзац списка"/>
    <w:basedOn w:val="892"/>
    <w:next w:val="906"/>
    <w:link w:val="892"/>
    <w:uiPriority w:val="99"/>
    <w:qFormat/>
    <w:pPr>
      <w:ind w:left="720"/>
    </w:pPr>
    <w:rPr>
      <w:rFonts w:ascii="Calibri" w:hAnsi="Calibri" w:eastAsia="Calibri" w:cs="Calibri"/>
      <w:lang w:eastAsia="en-US"/>
    </w:rPr>
  </w:style>
  <w:style w:type="paragraph" w:styleId="907">
    <w:name w:val="Текст выноски"/>
    <w:basedOn w:val="892"/>
    <w:next w:val="907"/>
    <w:link w:val="908"/>
    <w:uiPriority w:val="99"/>
    <w:semiHidden/>
    <w:pPr>
      <w:spacing w:after="0" w:line="240" w:lineRule="auto"/>
    </w:pPr>
    <w:rPr>
      <w:rFonts w:ascii="Tahoma" w:hAnsi="Tahoma" w:eastAsia="Calibri"/>
      <w:sz w:val="16"/>
      <w:szCs w:val="16"/>
      <w:lang w:val="en-US" w:eastAsia="en-US"/>
    </w:rPr>
  </w:style>
  <w:style w:type="character" w:styleId="908">
    <w:name w:val="Текст выноски Знак"/>
    <w:next w:val="908"/>
    <w:link w:val="907"/>
    <w:uiPriority w:val="99"/>
    <w:semiHidden/>
    <w:rPr>
      <w:rFonts w:ascii="Tahoma" w:hAnsi="Tahoma" w:eastAsia="Calibri" w:cs="Times New Roman"/>
      <w:sz w:val="16"/>
      <w:szCs w:val="16"/>
      <w:lang w:eastAsia="en-US"/>
    </w:rPr>
  </w:style>
  <w:style w:type="table" w:styleId="909">
    <w:name w:val="Сетка таблицы"/>
    <w:basedOn w:val="896"/>
    <w:next w:val="909"/>
    <w:link w:val="892"/>
    <w:uiPriority w:val="99"/>
    <w:pPr>
      <w:spacing w:after="0" w:line="240" w:lineRule="auto"/>
    </w:pPr>
    <w:rPr>
      <w:rFonts w:ascii="Calibri" w:hAnsi="Calibri" w:eastAsia="Calibri" w:cs="Calibri"/>
      <w:sz w:val="20"/>
      <w:szCs w:val="20"/>
    </w:rPr>
    <w:tblPr/>
  </w:style>
  <w:style w:type="character" w:styleId="910">
    <w:name w:val="Знак примечания"/>
    <w:next w:val="910"/>
    <w:link w:val="892"/>
    <w:uiPriority w:val="99"/>
    <w:semiHidden/>
    <w:rPr>
      <w:sz w:val="16"/>
      <w:szCs w:val="16"/>
    </w:rPr>
  </w:style>
  <w:style w:type="paragraph" w:styleId="911">
    <w:name w:val="Текст примечания"/>
    <w:basedOn w:val="892"/>
    <w:next w:val="911"/>
    <w:link w:val="912"/>
    <w:uiPriority w:val="99"/>
    <w:semiHidden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styleId="912">
    <w:name w:val="Текст примечания Знак"/>
    <w:next w:val="912"/>
    <w:link w:val="911"/>
    <w:uiPriority w:val="99"/>
    <w:semiHidden/>
    <w:rPr>
      <w:rFonts w:ascii="Calibri" w:hAnsi="Calibri" w:eastAsia="Calibri" w:cs="Times New Roman"/>
      <w:sz w:val="20"/>
      <w:szCs w:val="20"/>
      <w:lang w:eastAsia="en-US"/>
    </w:rPr>
  </w:style>
  <w:style w:type="paragraph" w:styleId="913">
    <w:name w:val="Тема примечания"/>
    <w:basedOn w:val="911"/>
    <w:next w:val="911"/>
    <w:link w:val="914"/>
    <w:uiPriority w:val="99"/>
    <w:semiHidden/>
    <w:rPr>
      <w:b/>
      <w:bCs/>
    </w:rPr>
  </w:style>
  <w:style w:type="character" w:styleId="914">
    <w:name w:val="Тема примечания Знак"/>
    <w:next w:val="914"/>
    <w:link w:val="913"/>
    <w:uiPriority w:val="99"/>
    <w:semiHidden/>
    <w:rPr>
      <w:rFonts w:ascii="Calibri" w:hAnsi="Calibri" w:eastAsia="Calibri" w:cs="Times New Roman"/>
      <w:b/>
      <w:bCs/>
      <w:sz w:val="20"/>
      <w:szCs w:val="20"/>
      <w:lang w:eastAsia="en-US"/>
    </w:rPr>
  </w:style>
  <w:style w:type="paragraph" w:styleId="915">
    <w:name w:val="Основной текст 2"/>
    <w:basedOn w:val="892"/>
    <w:next w:val="915"/>
    <w:link w:val="916"/>
    <w:pPr>
      <w:jc w:val="both"/>
      <w:spacing w:after="0" w:line="240" w:lineRule="auto"/>
      <w:framePr w:w="3541" w:h="721" w:hSpace="180" w:wrap="around" w:vAnchor="text" w:hAnchor="page" w:x="2016" w:y="505" w:hRule="atLeast"/>
    </w:pPr>
    <w:rPr>
      <w:rFonts w:ascii="Times New Roman" w:hAnsi="Times New Roman"/>
      <w:sz w:val="28"/>
      <w:szCs w:val="24"/>
      <w:lang w:val="en-US" w:eastAsia="en-US"/>
    </w:rPr>
  </w:style>
  <w:style w:type="character" w:styleId="916">
    <w:name w:val="Основной текст 2 Знак"/>
    <w:next w:val="916"/>
    <w:link w:val="915"/>
    <w:rPr>
      <w:rFonts w:ascii="Times New Roman" w:hAnsi="Times New Roman" w:eastAsia="Times New Roman" w:cs="Times New Roman"/>
      <w:sz w:val="28"/>
      <w:szCs w:val="24"/>
    </w:rPr>
  </w:style>
  <w:style w:type="paragraph" w:styleId="917">
    <w:name w:val="Основной текст с отступом"/>
    <w:basedOn w:val="892"/>
    <w:next w:val="917"/>
    <w:link w:val="918"/>
    <w:uiPriority w:val="99"/>
    <w:unhideWhenUsed/>
    <w:pPr>
      <w:ind w:left="283"/>
      <w:spacing w:after="120"/>
    </w:pPr>
  </w:style>
  <w:style w:type="character" w:styleId="918">
    <w:name w:val="Основной текст с отступом Знак"/>
    <w:basedOn w:val="895"/>
    <w:next w:val="918"/>
    <w:link w:val="917"/>
    <w:uiPriority w:val="99"/>
  </w:style>
  <w:style w:type="paragraph" w:styleId="919">
    <w:name w:val="Знак1"/>
    <w:basedOn w:val="892"/>
    <w:next w:val="919"/>
    <w:link w:val="892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920">
    <w:name w:val="Без интервала"/>
    <w:next w:val="920"/>
    <w:link w:val="892"/>
    <w:uiPriority w:val="1"/>
    <w:qFormat/>
    <w:rPr>
      <w:sz w:val="22"/>
      <w:szCs w:val="22"/>
      <w:lang w:val="ru-RU" w:eastAsia="ru-RU" w:bidi="ar-SA"/>
    </w:rPr>
  </w:style>
  <w:style w:type="character" w:styleId="921">
    <w:name w:val="Заголовок 2 Знак"/>
    <w:next w:val="921"/>
    <w:link w:val="894"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922">
    <w:name w:val="Название"/>
    <w:basedOn w:val="892"/>
    <w:next w:val="892"/>
    <w:link w:val="923"/>
    <w:uiPriority w:val="10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23">
    <w:name w:val="Название Знак"/>
    <w:next w:val="923"/>
    <w:link w:val="922"/>
    <w:uiPriority w:val="10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Сергеева</dc:creator>
  <cp:revision>51</cp:revision>
  <dcterms:created xsi:type="dcterms:W3CDTF">2019-03-13T08:12:00Z</dcterms:created>
  <dcterms:modified xsi:type="dcterms:W3CDTF">2024-03-18T11:19:11Z</dcterms:modified>
  <cp:version>983040</cp:version>
</cp:coreProperties>
</file>